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211D24A1" w:rsidR="00B175F9" w:rsidRDefault="00A248ED" w:rsidP="0009145C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C872D0" w:rsidRPr="00C872D0">
        <w:rPr>
          <w:rFonts w:ascii="Times New Roman" w:hAnsi="Times New Roman"/>
          <w:b/>
        </w:rPr>
        <w:t>окон, витражей, 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</w:t>
      </w:r>
      <w:r w:rsidR="0009145C">
        <w:rPr>
          <w:rFonts w:ascii="Times New Roman" w:hAnsi="Times New Roman"/>
          <w:b/>
        </w:rPr>
        <w:t>Ж</w:t>
      </w:r>
      <w:r w:rsidR="0009145C" w:rsidRPr="0009145C">
        <w:rPr>
          <w:rFonts w:ascii="Times New Roman" w:hAnsi="Times New Roman"/>
          <w:b/>
        </w:rPr>
        <w:t>ило</w:t>
      </w:r>
      <w:r w:rsidR="0009145C">
        <w:rPr>
          <w:rFonts w:ascii="Times New Roman" w:hAnsi="Times New Roman"/>
          <w:b/>
        </w:rPr>
        <w:t>й</w:t>
      </w:r>
      <w:r w:rsidR="0009145C" w:rsidRPr="0009145C">
        <w:rPr>
          <w:rFonts w:ascii="Times New Roman" w:hAnsi="Times New Roman"/>
          <w:b/>
        </w:rPr>
        <w:t xml:space="preserve"> комплекс со встроенными помещениями</w:t>
      </w:r>
      <w:r w:rsidR="0009145C">
        <w:rPr>
          <w:rFonts w:ascii="Times New Roman" w:hAnsi="Times New Roman"/>
          <w:b/>
        </w:rPr>
        <w:t xml:space="preserve"> </w:t>
      </w:r>
      <w:r w:rsidR="0009145C" w:rsidRPr="0009145C">
        <w:rPr>
          <w:rFonts w:ascii="Times New Roman" w:hAnsi="Times New Roman"/>
          <w:b/>
        </w:rPr>
        <w:t>общественно-делового, коммерческого назначения и поликлиническим</w:t>
      </w:r>
      <w:r w:rsidR="0009145C">
        <w:rPr>
          <w:rFonts w:ascii="Times New Roman" w:hAnsi="Times New Roman"/>
          <w:b/>
        </w:rPr>
        <w:t xml:space="preserve"> </w:t>
      </w:r>
      <w:r w:rsidR="0009145C" w:rsidRPr="0009145C">
        <w:rPr>
          <w:rFonts w:ascii="Times New Roman" w:hAnsi="Times New Roman"/>
          <w:b/>
        </w:rPr>
        <w:t>учреждением</w:t>
      </w:r>
      <w:r w:rsidR="00B435EF" w:rsidRPr="00B435EF">
        <w:rPr>
          <w:rFonts w:ascii="Times New Roman" w:hAnsi="Times New Roman"/>
          <w:b/>
        </w:rPr>
        <w:t xml:space="preserve">» поз. </w:t>
      </w:r>
      <w:r w:rsidR="0009145C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</w:t>
      </w:r>
      <w:r w:rsidR="007100EC">
        <w:rPr>
          <w:rFonts w:ascii="Times New Roman" w:hAnsi="Times New Roman"/>
          <w:b/>
        </w:rPr>
        <w:t>1</w:t>
      </w:r>
      <w:r w:rsidR="008E73DD" w:rsidRPr="00CD1318">
        <w:rPr>
          <w:rFonts w:ascii="Times New Roman" w:hAnsi="Times New Roman"/>
          <w:b/>
        </w:rPr>
        <w:t>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06D3B7A0" w:rsidR="00CD6D73" w:rsidRPr="00FD7DBC" w:rsidRDefault="007100EC" w:rsidP="007100E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100EC">
              <w:rPr>
                <w:rFonts w:ascii="Times New Roman" w:hAnsi="Times New Roman"/>
                <w:bCs/>
              </w:rPr>
              <w:t xml:space="preserve">Жилой дом со встроенными помещениями </w:t>
            </w:r>
            <w:r>
              <w:rPr>
                <w:rFonts w:ascii="Times New Roman" w:hAnsi="Times New Roman"/>
                <w:bCs/>
              </w:rPr>
              <w:t>о</w:t>
            </w:r>
            <w:r w:rsidRPr="007100EC">
              <w:rPr>
                <w:rFonts w:ascii="Times New Roman" w:hAnsi="Times New Roman"/>
                <w:bCs/>
              </w:rPr>
              <w:t>бщественно</w:t>
            </w:r>
            <w:r>
              <w:rPr>
                <w:rFonts w:ascii="Times New Roman" w:hAnsi="Times New Roman"/>
                <w:bCs/>
              </w:rPr>
              <w:t>-</w:t>
            </w:r>
            <w:r w:rsidRPr="007100EC">
              <w:rPr>
                <w:rFonts w:ascii="Times New Roman" w:hAnsi="Times New Roman"/>
                <w:bCs/>
              </w:rPr>
              <w:t>делового и коммерческого назначения на первом этаже здания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100EC">
              <w:rPr>
                <w:rFonts w:ascii="Times New Roman" w:hAnsi="Times New Roman"/>
                <w:bCs/>
              </w:rPr>
              <w:t>(поз. 2.1)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38EDAB2E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D8426D" w:rsidRPr="00B51EC9" w14:paraId="43B2D14C" w14:textId="77777777" w:rsidTr="006822DA">
        <w:trPr>
          <w:trHeight w:val="1817"/>
        </w:trPr>
        <w:tc>
          <w:tcPr>
            <w:tcW w:w="0" w:type="auto"/>
            <w:vAlign w:val="center"/>
          </w:tcPr>
          <w:p w14:paraId="520507D8" w14:textId="4FCA110A" w:rsidR="00D8426D" w:rsidRPr="00D8426D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0" w:type="auto"/>
            <w:vAlign w:val="center"/>
          </w:tcPr>
          <w:p w14:paraId="260ACF60" w14:textId="03FF3D28" w:rsidR="00D8426D" w:rsidRPr="00B51EC9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8426D">
              <w:rPr>
                <w:rFonts w:ascii="Times New Roman" w:hAnsi="Times New Roman"/>
              </w:rPr>
              <w:t>Требование к подрядчику (квалификация)</w:t>
            </w:r>
          </w:p>
        </w:tc>
        <w:tc>
          <w:tcPr>
            <w:tcW w:w="0" w:type="auto"/>
            <w:vAlign w:val="center"/>
          </w:tcPr>
          <w:p w14:paraId="401CE5A3" w14:textId="77777777" w:rsidR="00D8426D" w:rsidRPr="00D8426D" w:rsidRDefault="00D8426D" w:rsidP="006822D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8426D">
              <w:rPr>
                <w:rFonts w:ascii="Times New Roman" w:hAnsi="Times New Roman"/>
              </w:rPr>
              <w:t>Допуски СРО: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07C24A8E" w14:textId="2FA280F9" w:rsidR="00D8426D" w:rsidRPr="00B51EC9" w:rsidRDefault="00D8426D" w:rsidP="006822D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8426D">
              <w:rPr>
                <w:rFonts w:ascii="Times New Roman" w:hAnsi="Times New Roman"/>
              </w:rPr>
              <w:t>Опыт работы: наличие успешно реализованных аналогичных объектов за последние 2–3 года.</w:t>
            </w:r>
          </w:p>
        </w:tc>
      </w:tr>
      <w:tr w:rsidR="00CD1318" w:rsidRPr="00B51EC9" w14:paraId="7B5EDD1A" w14:textId="77777777" w:rsidTr="0038008B">
        <w:trPr>
          <w:trHeight w:val="434"/>
        </w:trPr>
        <w:tc>
          <w:tcPr>
            <w:tcW w:w="0" w:type="auto"/>
            <w:vAlign w:val="center"/>
          </w:tcPr>
          <w:p w14:paraId="35599F29" w14:textId="122773FF" w:rsidR="00CD1318" w:rsidRPr="00B51EC9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9E40E" w14:textId="35B3E82D" w:rsidR="00CD1318" w:rsidRPr="006822DA" w:rsidRDefault="0038008B" w:rsidP="00C872D0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822DA">
              <w:rPr>
                <w:rFonts w:ascii="Times New Roman" w:hAnsi="Times New Roman"/>
                <w:b/>
                <w:bCs/>
              </w:rPr>
              <w:t>200</w:t>
            </w:r>
            <w:r w:rsidR="00CD1318" w:rsidRPr="006822DA">
              <w:rPr>
                <w:rFonts w:ascii="Times New Roman" w:hAnsi="Times New Roman"/>
                <w:b/>
                <w:bCs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3A90E72C" w:rsidR="00CD1318" w:rsidRPr="00B51EC9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8F59FC">
        <w:trPr>
          <w:trHeight w:val="1543"/>
        </w:trPr>
        <w:tc>
          <w:tcPr>
            <w:tcW w:w="0" w:type="auto"/>
            <w:vAlign w:val="center"/>
          </w:tcPr>
          <w:p w14:paraId="089325E9" w14:textId="216A3250" w:rsidR="00CD1318" w:rsidRPr="00B51EC9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3E06ACBA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09145C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</w:t>
            </w:r>
            <w:r w:rsidR="007100EC">
              <w:rPr>
                <w:rFonts w:ascii="Times New Roman" w:hAnsi="Times New Roman"/>
              </w:rPr>
              <w:t>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8F59FC">
        <w:trPr>
          <w:trHeight w:val="634"/>
        </w:trPr>
        <w:tc>
          <w:tcPr>
            <w:tcW w:w="0" w:type="auto"/>
            <w:vAlign w:val="center"/>
          </w:tcPr>
          <w:p w14:paraId="2B54177C" w14:textId="36DAF73C" w:rsidR="00CD1318" w:rsidRPr="00B51EC9" w:rsidRDefault="00D8426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30AA66E4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D8426D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1CC5A9E7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24757B2" w14:textId="62C78FB6" w:rsidR="00996C64" w:rsidRP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на этапе изготовления.</w:t>
            </w:r>
          </w:p>
          <w:p w14:paraId="203A307B" w14:textId="77777777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lastRenderedPageBreak/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lastRenderedPageBreak/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D8426D">
        <w:trPr>
          <w:trHeight w:val="1694"/>
        </w:trPr>
        <w:tc>
          <w:tcPr>
            <w:tcW w:w="0" w:type="auto"/>
            <w:vAlign w:val="center"/>
          </w:tcPr>
          <w:p w14:paraId="0190D626" w14:textId="1266C1B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D8426D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18DC5456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579C353E" w14:textId="4857874A" w:rsidR="00317EB0" w:rsidRDefault="00317EB0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17EB0">
              <w:rPr>
                <w:rFonts w:ascii="Times New Roman" w:hAnsi="Times New Roman"/>
              </w:rPr>
              <w:t>Подрядчик разрабатывает и согласовывает с Заказчиком/Генподрядчиком. КМ и КМД</w:t>
            </w:r>
            <w:r>
              <w:rPr>
                <w:rFonts w:ascii="Times New Roman" w:hAnsi="Times New Roman"/>
              </w:rPr>
              <w:t>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2162ED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lastRenderedPageBreak/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51B2171D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D8426D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2FEEDF04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524AA3">
              <w:rPr>
                <w:rFonts w:ascii="Times New Roman" w:hAnsi="Times New Roman"/>
              </w:rPr>
              <w:t>ВЗиС</w:t>
            </w:r>
            <w:proofErr w:type="spellEnd"/>
            <w:r w:rsidRPr="00524AA3">
              <w:rPr>
                <w:rFonts w:ascii="Times New Roman" w:hAnsi="Times New Roman"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79EE746A" w14:textId="0ECA9915" w:rsidR="00317EB0" w:rsidRPr="00317EB0" w:rsidRDefault="00317EB0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317EB0">
              <w:rPr>
                <w:rFonts w:ascii="Times New Roman" w:hAnsi="Times New Roman"/>
                <w:b/>
                <w:bCs/>
              </w:rPr>
              <w:t>Претендент обязуется выполнить натурные замеры проемов на строительной площадке до начала СМР</w:t>
            </w:r>
            <w:r w:rsidRPr="00317EB0">
              <w:rPr>
                <w:rFonts w:ascii="Times New Roman" w:hAnsi="Times New Roman"/>
                <w:b/>
                <w:bCs/>
              </w:rPr>
              <w:t>.</w:t>
            </w:r>
          </w:p>
          <w:p w14:paraId="474B7030" w14:textId="76ECB1D8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16F99C3" w14:textId="4516D194" w:rsidR="0038008B" w:rsidRPr="0009145C" w:rsidRDefault="0038008B" w:rsidP="0038008B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В стоимости коммерческого предложения учесть устройство доп. элементов: </w:t>
            </w:r>
            <w:proofErr w:type="spellStart"/>
            <w:r w:rsidRPr="0009145C">
              <w:rPr>
                <w:rFonts w:ascii="Times New Roman" w:hAnsi="Times New Roman"/>
                <w:b/>
                <w:bCs/>
                <w:color w:val="C00000"/>
              </w:rPr>
              <w:t>нащельники</w:t>
            </w:r>
            <w:proofErr w:type="spellEnd"/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, </w:t>
            </w:r>
            <w:proofErr w:type="spellStart"/>
            <w:r w:rsidRPr="0009145C">
              <w:rPr>
                <w:rFonts w:ascii="Times New Roman" w:hAnsi="Times New Roman"/>
                <w:b/>
                <w:bCs/>
                <w:color w:val="C00000"/>
              </w:rPr>
              <w:t>доборные</w:t>
            </w:r>
            <w:proofErr w:type="spellEnd"/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  <w:r w:rsidR="0009145C" w:rsidRPr="0009145C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1772E5EC" w14:textId="6EA25DF9" w:rsidR="0009145C" w:rsidRPr="0009145C" w:rsidRDefault="0009145C" w:rsidP="0009145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09145C">
              <w:rPr>
                <w:rFonts w:ascii="Times New Roman" w:hAnsi="Times New Roman"/>
                <w:b/>
                <w:bCs/>
                <w:color w:val="C00000"/>
              </w:rPr>
              <w:t>В стоимости коммерческого предложения учесть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, что д</w:t>
            </w:r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верные проемы в витражных изделиях 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с двумя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активны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ми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створк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ами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должны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быть оснащены устройствами </w:t>
            </w:r>
            <w:proofErr w:type="spellStart"/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>самозакрывания</w:t>
            </w:r>
            <w:proofErr w:type="spellEnd"/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с функцией координации последовательного закрывания полотен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</w:t>
            </w:r>
            <w:r w:rsidRPr="00C673AC">
              <w:rPr>
                <w:rFonts w:ascii="Times New Roman" w:hAnsi="Times New Roman"/>
                <w:b/>
                <w:bCs/>
              </w:rPr>
              <w:lastRenderedPageBreak/>
              <w:t>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486CD856" w:rsidR="00CD1318" w:rsidRPr="00B51EC9" w:rsidRDefault="00CD1318" w:rsidP="00D8426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8426D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493771DB" w:rsidR="00CD1318" w:rsidRPr="00334789" w:rsidRDefault="0009145C" w:rsidP="008F59FC">
            <w:pPr>
              <w:jc w:val="both"/>
              <w:rPr>
                <w:rFonts w:ascii="Times New Roman" w:hAnsi="Times New Roman"/>
                <w:b/>
              </w:rPr>
            </w:pPr>
            <w:r w:rsidRPr="0009145C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</w:t>
            </w:r>
            <w:r w:rsidR="00CD1318" w:rsidRPr="00334789">
              <w:rPr>
                <w:rFonts w:ascii="Times New Roman" w:hAnsi="Times New Roman"/>
                <w:b/>
              </w:rPr>
              <w:t>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28875FBB" w:rsidR="00CD1318" w:rsidRPr="00CD1318" w:rsidRDefault="00CD1318" w:rsidP="00D8426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D8426D">
              <w:rPr>
                <w:rFonts w:ascii="Times New Roman" w:hAnsi="Times New Roman"/>
                <w:lang w:val="en-US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145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17EB0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8008B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22D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04530"/>
    <w:rsid w:val="007100EC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426D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62</cp:revision>
  <cp:lastPrinted>2022-04-21T10:13:00Z</cp:lastPrinted>
  <dcterms:created xsi:type="dcterms:W3CDTF">2021-12-10T10:56:00Z</dcterms:created>
  <dcterms:modified xsi:type="dcterms:W3CDTF">2026-06-04T06:55:00Z</dcterms:modified>
</cp:coreProperties>
</file>