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C04CA" w14:textId="77777777" w:rsidR="002565F7" w:rsidRDefault="006A539F" w:rsidP="004911AC">
      <w:pPr>
        <w:tabs>
          <w:tab w:val="left" w:pos="2187"/>
        </w:tabs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061ACFC0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884A06">
        <w:rPr>
          <w:rFonts w:ascii="Times New Roman" w:hAnsi="Times New Roman"/>
          <w:b/>
        </w:rPr>
        <w:t>устройству с</w:t>
      </w:r>
      <w:r w:rsidR="00004275">
        <w:rPr>
          <w:rFonts w:ascii="Times New Roman" w:hAnsi="Times New Roman"/>
          <w:b/>
        </w:rPr>
        <w:t>истемы обслуживания фасадов</w:t>
      </w:r>
      <w:r w:rsidR="00884A06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0B0083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0B0083" w:rsidRPr="00702F1F">
        <w:rPr>
          <w:rFonts w:ascii="Times New Roman" w:hAnsi="Times New Roman"/>
          <w:b/>
        </w:rPr>
        <w:t>г. Москва, 2-й Силикатный проезд, вл. 8</w:t>
      </w:r>
      <w:r w:rsidR="004911AC" w:rsidRPr="004911AC">
        <w:rPr>
          <w:rFonts w:ascii="Times New Roman" w:hAnsi="Times New Roman"/>
          <w:b/>
        </w:rPr>
        <w:t>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F35216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344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922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F35216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922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F35216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922" w:type="dxa"/>
          </w:tcPr>
          <w:p w14:paraId="72BFEABA" w14:textId="5A4853FE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D2155C">
              <w:rPr>
                <w:rFonts w:ascii="Times New Roman" w:hAnsi="Times New Roman"/>
              </w:rPr>
              <w:t xml:space="preserve">устройству </w:t>
            </w:r>
            <w:r w:rsidR="00004275">
              <w:rPr>
                <w:rFonts w:ascii="Times New Roman" w:hAnsi="Times New Roman"/>
              </w:rPr>
              <w:t xml:space="preserve">Системы обслуживания фасадов </w:t>
            </w:r>
          </w:p>
        </w:tc>
      </w:tr>
      <w:tr w:rsidR="007A7813" w:rsidRPr="00B51EC9" w14:paraId="316C2F48" w14:textId="77777777" w:rsidTr="00F35216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922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F35216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922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F35216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922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F35216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922" w:type="dxa"/>
          </w:tcPr>
          <w:p w14:paraId="30AE3635" w14:textId="22E9C3B1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11AC">
              <w:rPr>
                <w:rFonts w:ascii="Times New Roman" w:hAnsi="Times New Roman"/>
              </w:rPr>
              <w:t xml:space="preserve"> </w:t>
            </w:r>
            <w:r w:rsidR="00A979EF">
              <w:rPr>
                <w:rFonts w:ascii="Times New Roman" w:hAnsi="Times New Roman"/>
              </w:rPr>
              <w:t xml:space="preserve">  </w:t>
            </w:r>
            <w:r w:rsidR="00E55268">
              <w:rPr>
                <w:rFonts w:ascii="Times New Roman" w:hAnsi="Times New Roman"/>
                <w:lang w:val="en-US"/>
              </w:rPr>
              <w:t xml:space="preserve"> </w:t>
            </w:r>
            <w:r w:rsidR="00B92C02" w:rsidRPr="007C0A23">
              <w:rPr>
                <w:rFonts w:ascii="Times New Roman" w:hAnsi="Times New Roman"/>
              </w:rPr>
              <w:t xml:space="preserve"> </w:t>
            </w:r>
            <w:r w:rsidR="00E55268">
              <w:rPr>
                <w:rFonts w:ascii="Times New Roman" w:hAnsi="Times New Roman"/>
                <w:lang w:val="en-US"/>
              </w:rPr>
              <w:t xml:space="preserve">100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F35216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922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01093D4A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5DCD27FD" w:rsidR="005C2BA4" w:rsidRPr="0012020E" w:rsidRDefault="005C2BA4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Разграничительная ведомость </w:t>
            </w:r>
          </w:p>
        </w:tc>
      </w:tr>
      <w:tr w:rsidR="007A7813" w:rsidRPr="00B51EC9" w14:paraId="6E57B6F8" w14:textId="77777777" w:rsidTr="00F35216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922" w:type="dxa"/>
          </w:tcPr>
          <w:p w14:paraId="79E89B18" w14:textId="0EFB0E22" w:rsidR="002565F7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91536">
              <w:rPr>
                <w:rFonts w:ascii="Times New Roman" w:hAnsi="Times New Roman"/>
              </w:rPr>
              <w:t>Комплекса</w:t>
            </w:r>
            <w:r w:rsidR="002565F7">
              <w:rPr>
                <w:rFonts w:ascii="Times New Roman" w:hAnsi="Times New Roman"/>
              </w:rPr>
              <w:t xml:space="preserve"> </w:t>
            </w:r>
            <w:r w:rsidR="002565F7" w:rsidRPr="002565F7">
              <w:rPr>
                <w:rFonts w:ascii="Times New Roman" w:hAnsi="Times New Roman"/>
              </w:rPr>
              <w:t xml:space="preserve">работ по устройству </w:t>
            </w:r>
            <w:r w:rsidR="00004275">
              <w:rPr>
                <w:rFonts w:ascii="Times New Roman" w:hAnsi="Times New Roman"/>
              </w:rPr>
              <w:t>Системы обслуживания фасадов</w:t>
            </w:r>
            <w:r w:rsidR="00884A06">
              <w:rPr>
                <w:rFonts w:ascii="Times New Roman" w:hAnsi="Times New Roman"/>
              </w:rPr>
              <w:t>.</w:t>
            </w:r>
          </w:p>
          <w:p w14:paraId="3416EB90" w14:textId="4D135675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F35216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344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922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F35216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344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922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Pr="00E115C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115C0">
              <w:rPr>
                <w:rFonts w:ascii="Times New Roman" w:hAnsi="Times New Roman"/>
                <w:b/>
                <w:bCs/>
              </w:rPr>
              <w:t>О</w:t>
            </w:r>
            <w:r w:rsidR="007B43AA" w:rsidRPr="00E115C0">
              <w:rPr>
                <w:rFonts w:ascii="Times New Roman" w:hAnsi="Times New Roman"/>
                <w:b/>
                <w:bCs/>
              </w:rPr>
              <w:t xml:space="preserve">рганизовать ведение работ строго в соответствии с </w:t>
            </w:r>
            <w:r w:rsidR="00441A28" w:rsidRPr="00E115C0">
              <w:rPr>
                <w:rFonts w:ascii="Times New Roman" w:hAnsi="Times New Roman"/>
                <w:b/>
                <w:bCs/>
              </w:rPr>
              <w:t>ПОС</w:t>
            </w:r>
            <w:r w:rsidR="00761219" w:rsidRPr="00E115C0">
              <w:rPr>
                <w:rFonts w:ascii="Times New Roman" w:hAnsi="Times New Roman"/>
                <w:b/>
                <w:bCs/>
              </w:rPr>
              <w:t xml:space="preserve">, </w:t>
            </w:r>
            <w:r w:rsidR="007B43AA" w:rsidRPr="00E115C0">
              <w:rPr>
                <w:rFonts w:ascii="Times New Roman" w:hAnsi="Times New Roman"/>
                <w:b/>
                <w:bCs/>
              </w:rPr>
              <w:t>ППР</w:t>
            </w:r>
            <w:r w:rsidR="00BF3450" w:rsidRPr="00E115C0">
              <w:rPr>
                <w:rFonts w:ascii="Times New Roman" w:hAnsi="Times New Roman"/>
                <w:b/>
                <w:bCs/>
              </w:rPr>
              <w:t xml:space="preserve"> и</w:t>
            </w:r>
            <w:r w:rsidR="00973488" w:rsidRPr="00E115C0">
              <w:rPr>
                <w:rFonts w:ascii="Times New Roman" w:hAnsi="Times New Roman"/>
                <w:b/>
                <w:bCs/>
              </w:rPr>
              <w:t xml:space="preserve"> </w:t>
            </w:r>
            <w:r w:rsidR="00377A12" w:rsidRPr="00E115C0">
              <w:rPr>
                <w:rFonts w:ascii="Times New Roman" w:hAnsi="Times New Roman"/>
                <w:b/>
                <w:bCs/>
              </w:rPr>
              <w:t>технологической картой</w:t>
            </w:r>
            <w:r w:rsidR="007B43AA" w:rsidRPr="00E115C0">
              <w:rPr>
                <w:rFonts w:ascii="Times New Roman" w:hAnsi="Times New Roman"/>
                <w:b/>
                <w:bCs/>
              </w:rPr>
              <w:t xml:space="preserve"> (ППР</w:t>
            </w:r>
            <w:r w:rsidR="00BF3450" w:rsidRPr="00E115C0">
              <w:rPr>
                <w:rFonts w:ascii="Times New Roman" w:hAnsi="Times New Roman"/>
                <w:b/>
                <w:bCs/>
              </w:rPr>
              <w:t xml:space="preserve"> и</w:t>
            </w:r>
            <w:r w:rsidR="00377A12" w:rsidRPr="00E115C0">
              <w:rPr>
                <w:rFonts w:ascii="Times New Roman" w:hAnsi="Times New Roman"/>
                <w:b/>
                <w:bCs/>
              </w:rPr>
              <w:t xml:space="preserve"> технологическую карту</w:t>
            </w:r>
            <w:r w:rsidR="00733DD2" w:rsidRPr="00E115C0">
              <w:rPr>
                <w:rFonts w:ascii="Times New Roman" w:hAnsi="Times New Roman"/>
                <w:b/>
                <w:bCs/>
              </w:rPr>
              <w:t xml:space="preserve"> </w:t>
            </w:r>
            <w:r w:rsidR="007B43AA" w:rsidRPr="00E115C0">
              <w:rPr>
                <w:rFonts w:ascii="Times New Roman" w:hAnsi="Times New Roman"/>
                <w:b/>
                <w:bCs/>
              </w:rPr>
              <w:t>перед началом производства работ разраб</w:t>
            </w:r>
            <w:r w:rsidR="00CB256B" w:rsidRPr="00E115C0">
              <w:rPr>
                <w:rFonts w:ascii="Times New Roman" w:hAnsi="Times New Roman"/>
                <w:b/>
                <w:bCs/>
              </w:rPr>
              <w:t>отать и согласовать с Генподрядчиком</w:t>
            </w:r>
            <w:r w:rsidR="006D6C39" w:rsidRPr="00E115C0">
              <w:rPr>
                <w:rFonts w:ascii="Times New Roman" w:hAnsi="Times New Roman"/>
                <w:b/>
                <w:bCs/>
              </w:rPr>
              <w:t>)</w:t>
            </w:r>
            <w:r w:rsidR="007B43AA" w:rsidRPr="00E115C0">
              <w:rPr>
                <w:rFonts w:ascii="Times New Roman" w:hAnsi="Times New Roman"/>
                <w:b/>
                <w:bCs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0487FB7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3C92F498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5C2BA4">
              <w:rPr>
                <w:rFonts w:ascii="Times New Roman" w:hAnsi="Times New Roman"/>
              </w:rPr>
              <w:t>,</w:t>
            </w:r>
            <w:r w:rsidR="006F2EC6">
              <w:rPr>
                <w:rFonts w:ascii="Times New Roman" w:hAnsi="Times New Roman"/>
              </w:rPr>
              <w:t xml:space="preserve"> </w:t>
            </w:r>
            <w:r w:rsidR="00AE225D">
              <w:rPr>
                <w:rFonts w:ascii="Times New Roman" w:hAnsi="Times New Roman"/>
              </w:rPr>
              <w:t>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F35216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344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922" w:type="dxa"/>
          </w:tcPr>
          <w:p w14:paraId="029F859B" w14:textId="77777777" w:rsidR="00277591" w:rsidRPr="00B51EC9" w:rsidRDefault="00A91D43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464CF4CF" w:rsidR="00BF2309" w:rsidRPr="00B51EC9" w:rsidRDefault="00BF2309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</w:t>
            </w:r>
            <w:r w:rsidR="00004275">
              <w:rPr>
                <w:rFonts w:ascii="Times New Roman" w:hAnsi="Times New Roman"/>
              </w:rPr>
              <w:t>.</w:t>
            </w:r>
          </w:p>
          <w:p w14:paraId="5BF61545" w14:textId="110D56C2" w:rsidR="00BF2309" w:rsidRDefault="00BF2309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7B78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3853737" w:rsidR="00BF2309" w:rsidRPr="00B51EC9" w:rsidRDefault="00A91D43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07068D88" w14:textId="6098AC8A" w:rsidR="007B7820" w:rsidRPr="00E115C0" w:rsidRDefault="00392474" w:rsidP="00E115C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</w:t>
            </w:r>
            <w:r w:rsidR="00E115C0">
              <w:rPr>
                <w:rFonts w:ascii="Times New Roman" w:hAnsi="Times New Roman"/>
                <w:b/>
                <w:bCs/>
              </w:rPr>
              <w:t>,</w:t>
            </w:r>
            <w:r w:rsidR="005C2BA4">
              <w:rPr>
                <w:rFonts w:ascii="Times New Roman" w:hAnsi="Times New Roman"/>
                <w:b/>
                <w:bCs/>
              </w:rPr>
              <w:t xml:space="preserve"> заключений</w:t>
            </w:r>
            <w:r w:rsidR="00E115C0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Pr="00E115C0" w:rsidRDefault="00392474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115C0">
              <w:rPr>
                <w:rFonts w:ascii="Times New Roman" w:hAnsi="Times New Roman"/>
                <w:b/>
                <w:bCs/>
              </w:rPr>
              <w:t>Подрядчик осуществляет проведение всех необходимых испытаний.</w:t>
            </w:r>
          </w:p>
          <w:p w14:paraId="66DFE1B9" w14:textId="4B29B95B" w:rsidR="00973DA2" w:rsidRPr="00884A06" w:rsidRDefault="00392474" w:rsidP="007B7820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F35216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344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922" w:type="dxa"/>
          </w:tcPr>
          <w:p w14:paraId="41615641" w14:textId="7E0E4AAE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5421DE78" w14:textId="6724128B" w:rsidR="00A03D1B" w:rsidRP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73E2C4CD" w:rsidR="00985DF5" w:rsidRPr="00985DF5" w:rsidRDefault="00985DF5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>) а так же затраты на временное водоснабжение для хозяйственных нужд.</w:t>
            </w:r>
          </w:p>
          <w:p w14:paraId="26B36B51" w14:textId="13B1C888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70B0C56" w14:textId="77777777" w:rsidR="00B91536" w:rsidRDefault="00B92C02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>,</w:t>
            </w:r>
            <w:r w:rsidR="00F72B75">
              <w:rPr>
                <w:rFonts w:ascii="Times New Roman" w:hAnsi="Times New Roman"/>
                <w:b/>
              </w:rPr>
              <w:t xml:space="preserve"> </w:t>
            </w:r>
            <w:r w:rsidR="00F72B75" w:rsidRPr="00884A06">
              <w:rPr>
                <w:rFonts w:ascii="Times New Roman" w:hAnsi="Times New Roman"/>
                <w:b/>
                <w:color w:val="000000" w:themeColor="text1"/>
              </w:rPr>
              <w:t>аренду грузопассажирских подъемников,</w:t>
            </w:r>
            <w:r w:rsidRPr="00884A06">
              <w:rPr>
                <w:rFonts w:ascii="Times New Roman" w:hAnsi="Times New Roman"/>
                <w:b/>
                <w:color w:val="000000" w:themeColor="text1"/>
              </w:rPr>
              <w:t xml:space="preserve"> а также крепежные </w:t>
            </w:r>
            <w:r w:rsidRPr="00F44FEF">
              <w:rPr>
                <w:rFonts w:ascii="Times New Roman" w:hAnsi="Times New Roman"/>
                <w:b/>
              </w:rPr>
              <w:t>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4FA5CC7A" w14:textId="77777777" w:rsidR="00E55268" w:rsidRPr="001E5ED6" w:rsidRDefault="00E55268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E5ED6">
              <w:rPr>
                <w:rFonts w:ascii="Times New Roman" w:hAnsi="Times New Roman"/>
                <w:b/>
                <w:color w:val="FF0000"/>
              </w:rPr>
              <w:t>Учесть в стоимость КП разработку и согласование проекта рабочей документации в случае замены производителей материалов анкерной линии. В РД в данный момент</w:t>
            </w:r>
            <w:r w:rsidRPr="001E5ED6">
              <w:rPr>
                <w:rFonts w:ascii="Times New Roman" w:hAnsi="Times New Roman"/>
                <w:b/>
                <w:color w:val="FF0000"/>
                <w:lang w:val="en-US"/>
              </w:rPr>
              <w:t xml:space="preserve"> </w:t>
            </w:r>
            <w:r w:rsidRPr="001E5ED6">
              <w:rPr>
                <w:rFonts w:ascii="Times New Roman" w:hAnsi="Times New Roman"/>
                <w:b/>
                <w:color w:val="FF0000"/>
              </w:rPr>
              <w:t>производитель- HIGH SAFETY</w:t>
            </w:r>
          </w:p>
          <w:p w14:paraId="437DD9BB" w14:textId="0085E99B" w:rsidR="001E5ED6" w:rsidRPr="004911AC" w:rsidRDefault="001E5ED6" w:rsidP="004911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1E5ED6">
              <w:rPr>
                <w:rFonts w:ascii="Times New Roman" w:hAnsi="Times New Roman"/>
                <w:b/>
                <w:color w:val="FF0000"/>
              </w:rPr>
              <w:t xml:space="preserve">В КП учесть механизацию производства работ на высоте.  </w:t>
            </w:r>
          </w:p>
        </w:tc>
      </w:tr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45CAFD2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F35216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0C14C2E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F35216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3" w:name="_Hlk176339301"/>
            <w:bookmarkEnd w:id="1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7ABA" w14:textId="77777777" w:rsidR="001C2606" w:rsidRDefault="001C2606" w:rsidP="00212441">
      <w:r>
        <w:separator/>
      </w:r>
    </w:p>
  </w:endnote>
  <w:endnote w:type="continuationSeparator" w:id="0">
    <w:p w14:paraId="4E5AC9EA" w14:textId="77777777" w:rsidR="001C2606" w:rsidRDefault="001C2606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E4D0" w14:textId="77777777" w:rsidR="001C2606" w:rsidRDefault="001C2606" w:rsidP="00212441">
      <w:r>
        <w:separator/>
      </w:r>
    </w:p>
  </w:footnote>
  <w:footnote w:type="continuationSeparator" w:id="0">
    <w:p w14:paraId="030310EC" w14:textId="77777777" w:rsidR="001C2606" w:rsidRDefault="001C2606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4275"/>
    <w:rsid w:val="00021482"/>
    <w:rsid w:val="00023442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77A23"/>
    <w:rsid w:val="0008198A"/>
    <w:rsid w:val="00083862"/>
    <w:rsid w:val="00090E0C"/>
    <w:rsid w:val="000926AD"/>
    <w:rsid w:val="00097550"/>
    <w:rsid w:val="000A4717"/>
    <w:rsid w:val="000A48D4"/>
    <w:rsid w:val="000B0083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2606"/>
    <w:rsid w:val="001C4559"/>
    <w:rsid w:val="001C55DC"/>
    <w:rsid w:val="001C696F"/>
    <w:rsid w:val="001D3915"/>
    <w:rsid w:val="001E4677"/>
    <w:rsid w:val="001E4B78"/>
    <w:rsid w:val="001E5ED6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662B"/>
    <w:rsid w:val="00271926"/>
    <w:rsid w:val="002754FD"/>
    <w:rsid w:val="00275F9D"/>
    <w:rsid w:val="00277591"/>
    <w:rsid w:val="002840FE"/>
    <w:rsid w:val="0028444F"/>
    <w:rsid w:val="002848DB"/>
    <w:rsid w:val="00292478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E669D"/>
    <w:rsid w:val="004F203B"/>
    <w:rsid w:val="00502BC1"/>
    <w:rsid w:val="00510F42"/>
    <w:rsid w:val="00517E78"/>
    <w:rsid w:val="005209FD"/>
    <w:rsid w:val="00521AEA"/>
    <w:rsid w:val="005227C6"/>
    <w:rsid w:val="00525E21"/>
    <w:rsid w:val="00531320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C2BA4"/>
    <w:rsid w:val="005E1A6C"/>
    <w:rsid w:val="005E460C"/>
    <w:rsid w:val="006002B5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0011"/>
    <w:rsid w:val="0069546A"/>
    <w:rsid w:val="006A430D"/>
    <w:rsid w:val="006A4D6A"/>
    <w:rsid w:val="006A539F"/>
    <w:rsid w:val="006B32B9"/>
    <w:rsid w:val="006B4D33"/>
    <w:rsid w:val="006B4FA1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33496"/>
    <w:rsid w:val="00733DD2"/>
    <w:rsid w:val="0073565B"/>
    <w:rsid w:val="00736552"/>
    <w:rsid w:val="00736B3C"/>
    <w:rsid w:val="00736C20"/>
    <w:rsid w:val="00761219"/>
    <w:rsid w:val="007634D3"/>
    <w:rsid w:val="00764044"/>
    <w:rsid w:val="00765EA2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76B2"/>
    <w:rsid w:val="007A7813"/>
    <w:rsid w:val="007B0FA2"/>
    <w:rsid w:val="007B2F62"/>
    <w:rsid w:val="007B43AA"/>
    <w:rsid w:val="007B52A9"/>
    <w:rsid w:val="007B73F8"/>
    <w:rsid w:val="007B7820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4A06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D2175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441"/>
    <w:rsid w:val="00A2086B"/>
    <w:rsid w:val="00A22EC9"/>
    <w:rsid w:val="00A25691"/>
    <w:rsid w:val="00A40D93"/>
    <w:rsid w:val="00A417A6"/>
    <w:rsid w:val="00A43839"/>
    <w:rsid w:val="00A43D8F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3209B"/>
    <w:rsid w:val="00C357A6"/>
    <w:rsid w:val="00C36A20"/>
    <w:rsid w:val="00C36F3B"/>
    <w:rsid w:val="00C46D5C"/>
    <w:rsid w:val="00C51D7E"/>
    <w:rsid w:val="00C61303"/>
    <w:rsid w:val="00C6298B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07F0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5204"/>
    <w:rsid w:val="00E063BD"/>
    <w:rsid w:val="00E0783B"/>
    <w:rsid w:val="00E115C0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54A88"/>
    <w:rsid w:val="00E55268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35216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48</cp:revision>
  <cp:lastPrinted>2025-10-07T14:22:00Z</cp:lastPrinted>
  <dcterms:created xsi:type="dcterms:W3CDTF">2024-07-19T10:05:00Z</dcterms:created>
  <dcterms:modified xsi:type="dcterms:W3CDTF">2025-11-26T12:56:00Z</dcterms:modified>
</cp:coreProperties>
</file>