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13410567" w14:textId="77777777" w:rsidR="00312ADF" w:rsidRPr="00B51EC9" w:rsidRDefault="006A539F" w:rsidP="00CD6D73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4079049A" w14:textId="77777777" w:rsidR="00E21AAA" w:rsidRPr="00B51EC9" w:rsidRDefault="00E21AAA" w:rsidP="00E21AAA">
      <w:pPr>
        <w:tabs>
          <w:tab w:val="left" w:pos="2187"/>
        </w:tabs>
        <w:jc w:val="both"/>
        <w:rPr>
          <w:rFonts w:ascii="Times New Roman" w:hAnsi="Times New Roman"/>
        </w:rPr>
      </w:pPr>
    </w:p>
    <w:p w14:paraId="03451EE3" w14:textId="34A02339" w:rsidR="00FE75F8" w:rsidRPr="00AB65BC" w:rsidRDefault="00377D84" w:rsidP="00AB65BC">
      <w:pPr>
        <w:jc w:val="center"/>
        <w:rPr>
          <w:rFonts w:ascii="Times New Roman" w:hAnsi="Times New Roman"/>
          <w:b/>
        </w:rPr>
      </w:pPr>
      <w:r w:rsidRPr="00AB65BC">
        <w:rPr>
          <w:rFonts w:ascii="Times New Roman" w:hAnsi="Times New Roman"/>
          <w:b/>
        </w:rPr>
        <w:t xml:space="preserve">Для проведения тендера на </w:t>
      </w:r>
      <w:r w:rsidR="00AB65BC" w:rsidRPr="00AB65BC">
        <w:rPr>
          <w:rFonts w:ascii="Times New Roman" w:eastAsia="Times New Roman" w:hAnsi="Times New Roman"/>
          <w:b/>
          <w:iCs/>
          <w:lang w:eastAsia="ru-RU"/>
        </w:rPr>
        <w:t xml:space="preserve">проектирование Рабочей документации автоматической установки газового пожаротушения и выполнения строительно-монтажных работ </w:t>
      </w:r>
      <w:r w:rsidR="005227C6" w:rsidRPr="00AB65BC">
        <w:rPr>
          <w:rFonts w:ascii="Times New Roman" w:hAnsi="Times New Roman"/>
          <w:b/>
        </w:rPr>
        <w:t xml:space="preserve">на объекте: </w:t>
      </w:r>
      <w:r w:rsidR="00FE75F8" w:rsidRPr="00AB65BC">
        <w:rPr>
          <w:rFonts w:ascii="Times New Roman" w:hAnsi="Times New Roman"/>
          <w:b/>
        </w:rPr>
        <w:t>Многофункциональный гостиничный комплекс с подземным паркингом, расположенный по адресу: г. Москва, ЮЗАО, ул. Наметкина, вл. 10.</w:t>
      </w:r>
    </w:p>
    <w:p w14:paraId="740C2428" w14:textId="0DBE934E" w:rsidR="003962D7" w:rsidRDefault="003962D7" w:rsidP="00377D84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551"/>
        <w:gridCol w:w="2622"/>
        <w:gridCol w:w="6751"/>
      </w:tblGrid>
      <w:tr w:rsidR="007A7813" w:rsidRPr="00B51EC9" w14:paraId="466E8C5C" w14:textId="77777777" w:rsidTr="00AB65BC">
        <w:tc>
          <w:tcPr>
            <w:tcW w:w="710" w:type="dxa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59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616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AB65BC">
        <w:trPr>
          <w:trHeight w:val="561"/>
        </w:trPr>
        <w:tc>
          <w:tcPr>
            <w:tcW w:w="710" w:type="dxa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616" w:type="dxa"/>
          </w:tcPr>
          <w:p w14:paraId="509A2BFB" w14:textId="1653691F" w:rsidR="00CD6D73" w:rsidRPr="003962D7" w:rsidRDefault="00FE75F8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CA0AC7">
              <w:rPr>
                <w:rFonts w:ascii="Times New Roman" w:hAnsi="Times New Roman"/>
                <w:bCs/>
              </w:rPr>
              <w:t>Многофункциональный гостиничный комплекс с подземным паркингом, расположенный по адресу: г. Москва, ЮЗАО, ул. Наметкина, вл. 10.</w:t>
            </w:r>
          </w:p>
        </w:tc>
      </w:tr>
      <w:tr w:rsidR="007A7813" w:rsidRPr="00B51EC9" w14:paraId="479CE884" w14:textId="77777777" w:rsidTr="00AB65BC">
        <w:tc>
          <w:tcPr>
            <w:tcW w:w="710" w:type="dxa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616" w:type="dxa"/>
          </w:tcPr>
          <w:p w14:paraId="72BFEABA" w14:textId="61A3DABF" w:rsidR="00CD6D73" w:rsidRPr="00441A28" w:rsidRDefault="00AB65BC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раздела АУГПТ и Выполнение строительно-монтажных работ по разработанной РД</w:t>
            </w:r>
          </w:p>
        </w:tc>
      </w:tr>
      <w:tr w:rsidR="007A7813" w:rsidRPr="00B51EC9" w14:paraId="316C2F48" w14:textId="77777777" w:rsidTr="00AB65BC">
        <w:tc>
          <w:tcPr>
            <w:tcW w:w="710" w:type="dxa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616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0DC4CD00" w:rsidR="00CD6D73" w:rsidRPr="003962D7" w:rsidRDefault="00FE75F8" w:rsidP="005227C6">
            <w:pPr>
              <w:rPr>
                <w:rFonts w:ascii="Times New Roman" w:hAnsi="Times New Roman"/>
                <w:bCs/>
              </w:rPr>
            </w:pPr>
            <w:r w:rsidRPr="00CA0AC7">
              <w:rPr>
                <w:rFonts w:ascii="Times New Roman" w:hAnsi="Times New Roman"/>
                <w:bCs/>
              </w:rPr>
              <w:t>г. Москва, ЮЗАО, ул. Наметкина, вл. 10.</w:t>
            </w:r>
          </w:p>
        </w:tc>
      </w:tr>
      <w:tr w:rsidR="007A7813" w:rsidRPr="00B51EC9" w14:paraId="24D8AE3B" w14:textId="77777777" w:rsidTr="00AB65BC">
        <w:tc>
          <w:tcPr>
            <w:tcW w:w="710" w:type="dxa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616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AB65BC">
        <w:tc>
          <w:tcPr>
            <w:tcW w:w="710" w:type="dxa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616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AB65BC">
        <w:tc>
          <w:tcPr>
            <w:tcW w:w="710" w:type="dxa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616" w:type="dxa"/>
          </w:tcPr>
          <w:p w14:paraId="30AE3635" w14:textId="69EDDCD5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76325">
              <w:rPr>
                <w:rFonts w:ascii="Times New Roman" w:hAnsi="Times New Roman"/>
              </w:rPr>
              <w:t>180</w:t>
            </w:r>
            <w:r w:rsidR="00B92C02">
              <w:rPr>
                <w:rFonts w:ascii="Times New Roman" w:hAnsi="Times New Roman"/>
              </w:rPr>
              <w:t xml:space="preserve"> </w:t>
            </w:r>
            <w:r w:rsidR="00B1491B">
              <w:rPr>
                <w:rFonts w:ascii="Times New Roman" w:hAnsi="Times New Roman"/>
              </w:rPr>
              <w:t xml:space="preserve">календарных </w:t>
            </w:r>
            <w:r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AB65BC">
        <w:tc>
          <w:tcPr>
            <w:tcW w:w="710" w:type="dxa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616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AB65BC">
        <w:tc>
          <w:tcPr>
            <w:tcW w:w="710" w:type="dxa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616" w:type="dxa"/>
          </w:tcPr>
          <w:p w14:paraId="71B563A5" w14:textId="653DBC01" w:rsidR="00105AA5" w:rsidRDefault="00105AA5" w:rsidP="002442B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>Разработать коммерческое предложение</w:t>
            </w:r>
            <w:r w:rsidR="002442BA">
              <w:rPr>
                <w:rFonts w:ascii="Times New Roman" w:hAnsi="Times New Roman"/>
              </w:rPr>
              <w:t xml:space="preserve">: </w:t>
            </w:r>
            <w:r w:rsidR="002442BA" w:rsidRPr="002442BA">
              <w:rPr>
                <w:rFonts w:ascii="Times New Roman" w:hAnsi="Times New Roman"/>
              </w:rPr>
              <w:t>1.</w:t>
            </w:r>
            <w:r w:rsidR="002442BA">
              <w:rPr>
                <w:rFonts w:ascii="Times New Roman" w:hAnsi="Times New Roman"/>
              </w:rPr>
              <w:t xml:space="preserve"> </w:t>
            </w:r>
            <w:r w:rsidR="002442BA" w:rsidRPr="002442BA">
              <w:rPr>
                <w:rFonts w:ascii="Times New Roman" w:hAnsi="Times New Roman"/>
              </w:rPr>
              <w:t>Выполнить проектирование по разработке рабочей документации раздела «Автоматическая установка газового пожаротушения» (АУГП) на основе настоящего задания, предоставленных заказчиком изысканий и действующих регламентирующих документов</w:t>
            </w:r>
            <w:r w:rsidR="003F3E19">
              <w:rPr>
                <w:rFonts w:ascii="Times New Roman" w:hAnsi="Times New Roman"/>
              </w:rPr>
              <w:t>, с дальнейшем согласование с представителями АО «ГК «Основа»</w:t>
            </w:r>
            <w:r w:rsidR="00AB65BC">
              <w:rPr>
                <w:rFonts w:ascii="Times New Roman" w:hAnsi="Times New Roman"/>
              </w:rPr>
              <w:t xml:space="preserve">   </w:t>
            </w:r>
            <w:r w:rsidR="002442BA">
              <w:rPr>
                <w:rFonts w:ascii="Times New Roman" w:hAnsi="Times New Roman"/>
              </w:rPr>
              <w:t xml:space="preserve"> </w:t>
            </w:r>
            <w:r w:rsidR="00AB65BC">
              <w:rPr>
                <w:rFonts w:ascii="Times New Roman" w:hAnsi="Times New Roman"/>
              </w:rPr>
              <w:t xml:space="preserve">           </w:t>
            </w:r>
            <w:r w:rsidR="002442BA" w:rsidRPr="002442BA">
              <w:rPr>
                <w:rFonts w:ascii="Times New Roman" w:hAnsi="Times New Roman"/>
              </w:rPr>
              <w:t>2.</w:t>
            </w:r>
            <w:r w:rsidR="002442BA">
              <w:rPr>
                <w:rFonts w:ascii="Times New Roman" w:hAnsi="Times New Roman"/>
              </w:rPr>
              <w:t xml:space="preserve"> </w:t>
            </w:r>
            <w:r w:rsidR="002442BA" w:rsidRPr="002442BA">
              <w:rPr>
                <w:rFonts w:ascii="Times New Roman" w:hAnsi="Times New Roman"/>
              </w:rPr>
              <w:t>Выполнить СМР по разработанной</w:t>
            </w:r>
            <w:r w:rsidR="003F3E19">
              <w:rPr>
                <w:rFonts w:ascii="Times New Roman" w:hAnsi="Times New Roman"/>
              </w:rPr>
              <w:t xml:space="preserve"> и согласованной</w:t>
            </w:r>
            <w:r w:rsidR="002442BA" w:rsidRPr="002442BA">
              <w:rPr>
                <w:rFonts w:ascii="Times New Roman" w:hAnsi="Times New Roman"/>
              </w:rPr>
              <w:t xml:space="preserve"> документации АУГП.</w:t>
            </w:r>
          </w:p>
          <w:p w14:paraId="3416EB90" w14:textId="2040D197" w:rsidR="00A15738" w:rsidRPr="007A76B2" w:rsidRDefault="00105AA5" w:rsidP="003962D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 </w:t>
            </w:r>
            <w:r w:rsidR="007B0FA2"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="007B0FA2"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1C814B19" w14:textId="77777777" w:rsidTr="00AB65BC">
        <w:tc>
          <w:tcPr>
            <w:tcW w:w="710" w:type="dxa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616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2442BA" w:rsidRPr="00B51EC9" w14:paraId="4648D1FD" w14:textId="77777777" w:rsidTr="00AB65BC">
        <w:tc>
          <w:tcPr>
            <w:tcW w:w="710" w:type="dxa"/>
            <w:shd w:val="clear" w:color="auto" w:fill="auto"/>
          </w:tcPr>
          <w:p w14:paraId="272ACA36" w14:textId="64248DFE" w:rsidR="002442BA" w:rsidRPr="00B51EC9" w:rsidRDefault="002442BA" w:rsidP="002442B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shd w:val="clear" w:color="auto" w:fill="auto"/>
          </w:tcPr>
          <w:p w14:paraId="2F9C4213" w14:textId="32AD6399" w:rsidR="002442BA" w:rsidRPr="00B51EC9" w:rsidRDefault="002442BA" w:rsidP="002442B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color w:val="000000"/>
                <w:lang w:bidi="ru-RU"/>
              </w:rPr>
              <w:t>Основные требования к документации</w:t>
            </w:r>
          </w:p>
        </w:tc>
        <w:tc>
          <w:tcPr>
            <w:tcW w:w="6616" w:type="dxa"/>
            <w:shd w:val="clear" w:color="auto" w:fill="auto"/>
          </w:tcPr>
          <w:p w14:paraId="6B95F84E" w14:textId="77777777" w:rsidR="002442BA" w:rsidRDefault="002442BA" w:rsidP="002442BA">
            <w:pPr>
              <w:pStyle w:val="aff0"/>
              <w:tabs>
                <w:tab w:val="left" w:pos="0"/>
                <w:tab w:val="right" w:pos="2535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Разработка документации должна производиться в соответствии с действующими строительными, санитарными и </w:t>
            </w:r>
            <w:r>
              <w:rPr>
                <w:color w:val="000000"/>
                <w:sz w:val="24"/>
                <w:szCs w:val="24"/>
                <w:lang w:bidi="ru-RU"/>
              </w:rPr>
              <w:tab/>
              <w:t>противопожарными нормами и другими нормативными, техническими и правовыми документами, утвержденными в установленном порядке Российской Федерацией и Правительством г. Москва.</w:t>
            </w:r>
          </w:p>
          <w:p w14:paraId="7363C96F" w14:textId="77777777" w:rsidR="002442BA" w:rsidRDefault="002442BA" w:rsidP="002442BA">
            <w:pPr>
              <w:pStyle w:val="aff0"/>
              <w:tabs>
                <w:tab w:val="left" w:pos="0"/>
                <w:tab w:val="left" w:pos="1846"/>
                <w:tab w:val="left" w:pos="3392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Решения должны соответствовать требованиям:</w:t>
            </w:r>
          </w:p>
          <w:p w14:paraId="5633A654" w14:textId="77777777" w:rsidR="002442BA" w:rsidRDefault="002442BA" w:rsidP="002442BA">
            <w:pPr>
              <w:pStyle w:val="aff0"/>
              <w:numPr>
                <w:ilvl w:val="0"/>
                <w:numId w:val="10"/>
              </w:numPr>
              <w:tabs>
                <w:tab w:val="left" w:pos="0"/>
                <w:tab w:val="left" w:pos="43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Федеральный закон от 30 декабря 2009 г. </w:t>
            </w:r>
            <w:r>
              <w:rPr>
                <w:color w:val="000000"/>
                <w:sz w:val="24"/>
                <w:szCs w:val="24"/>
                <w:lang w:val="en-US" w:bidi="en-US"/>
              </w:rPr>
              <w:t>N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384-ФЗ «Технический регламент о безопасности зданий и сооружений»;</w:t>
            </w:r>
          </w:p>
          <w:p w14:paraId="1680B9DD" w14:textId="77777777" w:rsidR="002442BA" w:rsidRDefault="002442BA" w:rsidP="002442BA">
            <w:pPr>
              <w:pStyle w:val="aff0"/>
              <w:numPr>
                <w:ilvl w:val="0"/>
                <w:numId w:val="10"/>
              </w:numPr>
              <w:tabs>
                <w:tab w:val="left" w:pos="0"/>
                <w:tab w:val="left" w:pos="43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Федеральный закон от 29 декабря 2004 г. </w:t>
            </w:r>
            <w:r>
              <w:rPr>
                <w:color w:val="000000"/>
                <w:sz w:val="24"/>
                <w:szCs w:val="24"/>
                <w:lang w:val="en-US" w:bidi="en-US"/>
              </w:rPr>
              <w:t>N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190-ФЗ «Градостроительный кодекс Российской Федерации»;</w:t>
            </w:r>
          </w:p>
          <w:p w14:paraId="6367027D" w14:textId="77777777" w:rsidR="002442BA" w:rsidRPr="001469C2" w:rsidRDefault="002442BA" w:rsidP="002442BA">
            <w:pPr>
              <w:pStyle w:val="aff0"/>
              <w:numPr>
                <w:ilvl w:val="0"/>
                <w:numId w:val="10"/>
              </w:numPr>
              <w:tabs>
                <w:tab w:val="left" w:pos="0"/>
                <w:tab w:val="left" w:pos="43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Федеральный закон от 22 июля 2008 г. </w:t>
            </w:r>
            <w:r>
              <w:rPr>
                <w:color w:val="000000"/>
                <w:sz w:val="24"/>
                <w:szCs w:val="24"/>
                <w:lang w:val="en-US" w:bidi="en-US"/>
              </w:rPr>
              <w:t>N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123-ФЗ «Технический регламент о требованиях пожарной безопасности»;</w:t>
            </w:r>
          </w:p>
          <w:p w14:paraId="01D75FE3" w14:textId="77777777" w:rsidR="002442BA" w:rsidRDefault="002442BA" w:rsidP="002442BA">
            <w:pPr>
              <w:pStyle w:val="aff0"/>
              <w:numPr>
                <w:ilvl w:val="0"/>
                <w:numId w:val="10"/>
              </w:numPr>
              <w:tabs>
                <w:tab w:val="left" w:pos="0"/>
                <w:tab w:val="left" w:pos="438"/>
              </w:tabs>
              <w:jc w:val="both"/>
              <w:rPr>
                <w:color w:val="000000"/>
                <w:lang w:bidi="ru-RU"/>
              </w:rPr>
            </w:pPr>
            <w:r w:rsidRPr="001469C2">
              <w:rPr>
                <w:color w:val="000000"/>
                <w:sz w:val="24"/>
                <w:szCs w:val="24"/>
                <w:lang w:bidi="ru-RU"/>
              </w:rPr>
              <w:t>ГОСТ</w:t>
            </w:r>
            <w:r>
              <w:rPr>
                <w:color w:val="000000"/>
                <w:lang w:bidi="ru-RU"/>
              </w:rPr>
              <w:t xml:space="preserve"> Р 31565-2012 «Кабельные изделия. Требования пожарной безопасности»;</w:t>
            </w:r>
          </w:p>
          <w:p w14:paraId="3E863F36" w14:textId="77777777" w:rsidR="002442BA" w:rsidRPr="001469C2" w:rsidRDefault="002442BA" w:rsidP="002442BA">
            <w:pPr>
              <w:pStyle w:val="aff0"/>
              <w:numPr>
                <w:ilvl w:val="0"/>
                <w:numId w:val="11"/>
              </w:numPr>
              <w:tabs>
                <w:tab w:val="left" w:pos="0"/>
                <w:tab w:val="left" w:pos="438"/>
                <w:tab w:val="left" w:pos="648"/>
                <w:tab w:val="left" w:pos="2347"/>
                <w:tab w:val="left" w:pos="338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ГОСТ Р 21.101-2020 «Система проектной документации для строительства. Основные требования к проектной и рабочей документации».</w:t>
            </w:r>
          </w:p>
          <w:p w14:paraId="3F33D9DB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73A19">
              <w:rPr>
                <w:sz w:val="24"/>
                <w:szCs w:val="24"/>
              </w:rPr>
              <w:t>-  </w:t>
            </w:r>
            <w:r w:rsidRPr="001525D3">
              <w:rPr>
                <w:sz w:val="24"/>
                <w:szCs w:val="24"/>
              </w:rPr>
              <w:t xml:space="preserve">ГОСТ Р 59636-2021. </w:t>
            </w:r>
            <w:r>
              <w:rPr>
                <w:sz w:val="24"/>
                <w:szCs w:val="24"/>
              </w:rPr>
              <w:t>«</w:t>
            </w:r>
            <w:r w:rsidRPr="001525D3">
              <w:rPr>
                <w:sz w:val="24"/>
                <w:szCs w:val="24"/>
              </w:rPr>
              <w:t>Национальный стандарт Российской Федерации. Установки пожаротушения автоматические. Руководство по проектированию, монтажу, техническому обслуживанию и ремонту. Методы испытаний на работоспособность.</w:t>
            </w:r>
            <w:r>
              <w:rPr>
                <w:sz w:val="24"/>
                <w:szCs w:val="24"/>
              </w:rPr>
              <w:t>»</w:t>
            </w:r>
          </w:p>
          <w:p w14:paraId="43396BDE" w14:textId="77777777" w:rsidR="002442BA" w:rsidRPr="00B73A19" w:rsidRDefault="002442BA" w:rsidP="002442BA">
            <w:pPr>
              <w:pStyle w:val="aff0"/>
              <w:numPr>
                <w:ilvl w:val="0"/>
                <w:numId w:val="10"/>
              </w:numPr>
              <w:tabs>
                <w:tab w:val="left" w:pos="0"/>
                <w:tab w:val="left" w:pos="438"/>
              </w:tabs>
              <w:jc w:val="both"/>
              <w:rPr>
                <w:sz w:val="24"/>
                <w:szCs w:val="24"/>
              </w:rPr>
            </w:pPr>
            <w:r w:rsidRPr="00A37BCF">
              <w:rPr>
                <w:color w:val="000000"/>
                <w:sz w:val="24"/>
                <w:szCs w:val="24"/>
                <w:highlight w:val="white"/>
                <w:lang w:bidi="ru-RU"/>
              </w:rPr>
              <w:t>СП</w:t>
            </w:r>
            <w:r w:rsidRPr="001469C2">
              <w:rPr>
                <w:sz w:val="24"/>
                <w:szCs w:val="24"/>
              </w:rPr>
              <w:t xml:space="preserve"> 6.13130</w:t>
            </w:r>
            <w:r>
              <w:rPr>
                <w:sz w:val="24"/>
                <w:szCs w:val="24"/>
              </w:rPr>
              <w:t xml:space="preserve">. 2021 </w:t>
            </w:r>
            <w:r w:rsidRPr="001469C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С</w:t>
            </w:r>
            <w:r w:rsidRPr="001469C2">
              <w:rPr>
                <w:sz w:val="24"/>
                <w:szCs w:val="24"/>
              </w:rPr>
              <w:t xml:space="preserve">истемы противопожарной защиты. </w:t>
            </w:r>
            <w:r>
              <w:rPr>
                <w:sz w:val="24"/>
                <w:szCs w:val="24"/>
              </w:rPr>
              <w:t>Э</w:t>
            </w:r>
            <w:r w:rsidRPr="001469C2">
              <w:rPr>
                <w:sz w:val="24"/>
                <w:szCs w:val="24"/>
              </w:rPr>
              <w:t>лектроустановки</w:t>
            </w:r>
            <w:r>
              <w:rPr>
                <w:sz w:val="24"/>
                <w:szCs w:val="24"/>
              </w:rPr>
              <w:t xml:space="preserve"> </w:t>
            </w:r>
            <w:r w:rsidRPr="001469C2">
              <w:rPr>
                <w:sz w:val="24"/>
                <w:szCs w:val="24"/>
              </w:rPr>
              <w:t xml:space="preserve">низковольтные. </w:t>
            </w:r>
            <w:r>
              <w:rPr>
                <w:sz w:val="24"/>
                <w:szCs w:val="24"/>
              </w:rPr>
              <w:t>Т</w:t>
            </w:r>
            <w:r w:rsidRPr="001469C2">
              <w:rPr>
                <w:sz w:val="24"/>
                <w:szCs w:val="24"/>
              </w:rPr>
              <w:t>ребования пожарной безопасности"</w:t>
            </w:r>
          </w:p>
          <w:p w14:paraId="0CEBFE2A" w14:textId="77777777" w:rsidR="002442BA" w:rsidRPr="00F232B8" w:rsidRDefault="002442BA" w:rsidP="002442BA">
            <w:pPr>
              <w:pStyle w:val="aff0"/>
              <w:numPr>
                <w:ilvl w:val="0"/>
                <w:numId w:val="10"/>
              </w:numPr>
              <w:tabs>
                <w:tab w:val="left" w:pos="0"/>
                <w:tab w:val="left" w:pos="438"/>
              </w:tabs>
              <w:jc w:val="both"/>
              <w:rPr>
                <w:sz w:val="24"/>
                <w:szCs w:val="24"/>
                <w:highlight w:val="white"/>
              </w:rPr>
            </w:pPr>
            <w:r w:rsidRPr="00F232B8">
              <w:rPr>
                <w:color w:val="000000"/>
                <w:sz w:val="24"/>
                <w:szCs w:val="24"/>
                <w:highlight w:val="white"/>
                <w:lang w:bidi="ru-RU"/>
              </w:rPr>
              <w:t>СП 256.1325800.2016 «Электроустановки жилых и общественных зданий. Правила проектирования и монтажа»;</w:t>
            </w:r>
          </w:p>
          <w:p w14:paraId="548254EB" w14:textId="77777777" w:rsidR="002442BA" w:rsidRDefault="002442BA" w:rsidP="002442BA">
            <w:pPr>
              <w:pStyle w:val="aff0"/>
              <w:numPr>
                <w:ilvl w:val="0"/>
                <w:numId w:val="10"/>
              </w:numPr>
              <w:tabs>
                <w:tab w:val="left" w:pos="0"/>
                <w:tab w:val="left" w:pos="43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Правила устройства электроустановок (издание 7);</w:t>
            </w:r>
          </w:p>
          <w:p w14:paraId="27009609" w14:textId="77777777" w:rsidR="002442BA" w:rsidRPr="001469C2" w:rsidRDefault="002442BA" w:rsidP="002442BA">
            <w:pPr>
              <w:pStyle w:val="aff0"/>
              <w:numPr>
                <w:ilvl w:val="0"/>
                <w:numId w:val="10"/>
              </w:numPr>
              <w:tabs>
                <w:tab w:val="left" w:pos="0"/>
                <w:tab w:val="left" w:pos="43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СП 76.13330.2016 «Электротехнические устройства»;</w:t>
            </w:r>
          </w:p>
          <w:p w14:paraId="5C88A8DD" w14:textId="77777777" w:rsidR="002442BA" w:rsidRPr="00B73A19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73A19">
              <w:rPr>
                <w:sz w:val="24"/>
                <w:szCs w:val="24"/>
              </w:rPr>
              <w:t xml:space="preserve">- </w:t>
            </w:r>
            <w:r w:rsidRPr="001525D3">
              <w:rPr>
                <w:sz w:val="24"/>
                <w:szCs w:val="24"/>
              </w:rPr>
              <w:t xml:space="preserve">СП 485.1311500.2020 </w:t>
            </w:r>
            <w:r>
              <w:rPr>
                <w:sz w:val="24"/>
                <w:szCs w:val="24"/>
              </w:rPr>
              <w:t>«</w:t>
            </w:r>
            <w:r w:rsidRPr="001525D3">
              <w:rPr>
                <w:sz w:val="24"/>
                <w:szCs w:val="24"/>
              </w:rPr>
              <w:t>Системы противопожарной защиты. Установки. пожаротушения автоматические. Нормы и правила проектирования.</w:t>
            </w:r>
            <w:r>
              <w:rPr>
                <w:sz w:val="24"/>
                <w:szCs w:val="24"/>
              </w:rPr>
              <w:t>»</w:t>
            </w:r>
          </w:p>
          <w:p w14:paraId="01C31F13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73A19">
              <w:rPr>
                <w:sz w:val="24"/>
                <w:szCs w:val="24"/>
              </w:rPr>
              <w:t xml:space="preserve">- СП 484.1311500.2020 изм. 1 </w:t>
            </w:r>
            <w:r>
              <w:rPr>
                <w:sz w:val="24"/>
                <w:szCs w:val="24"/>
              </w:rPr>
              <w:t>«С</w:t>
            </w:r>
            <w:r w:rsidRPr="001525D3">
              <w:rPr>
                <w:sz w:val="24"/>
                <w:szCs w:val="24"/>
              </w:rPr>
              <w:t>вод правил «Системы противопожарной защиты. Системы пожарной сигнализации и автоматизация систем противопожарной защиты. Нормы и правила проектирования»</w:t>
            </w:r>
            <w:r>
              <w:rPr>
                <w:sz w:val="24"/>
                <w:szCs w:val="24"/>
              </w:rPr>
              <w:t>.</w:t>
            </w:r>
          </w:p>
          <w:p w14:paraId="3ADCDE4C" w14:textId="40D2A1CC" w:rsidR="002442BA" w:rsidRPr="00B51EC9" w:rsidRDefault="002442BA" w:rsidP="002442B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442BA" w:rsidRPr="00B51EC9" w14:paraId="35E36F38" w14:textId="77777777" w:rsidTr="00AB65BC">
        <w:tc>
          <w:tcPr>
            <w:tcW w:w="710" w:type="dxa"/>
            <w:shd w:val="clear" w:color="auto" w:fill="auto"/>
          </w:tcPr>
          <w:p w14:paraId="72ACC294" w14:textId="35B22BA4" w:rsidR="002442BA" w:rsidRPr="00B51EC9" w:rsidRDefault="002442BA" w:rsidP="002442B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lastRenderedPageBreak/>
              <w:t>11.</w:t>
            </w:r>
          </w:p>
        </w:tc>
        <w:tc>
          <w:tcPr>
            <w:tcW w:w="2598" w:type="dxa"/>
            <w:shd w:val="clear" w:color="auto" w:fill="auto"/>
          </w:tcPr>
          <w:p w14:paraId="68B1A8A4" w14:textId="4E823484" w:rsidR="002442BA" w:rsidRPr="002442BA" w:rsidRDefault="002442BA" w:rsidP="002442B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442BA">
              <w:rPr>
                <w:rFonts w:ascii="Times New Roman" w:hAnsi="Times New Roman"/>
                <w:color w:val="000000"/>
                <w:lang w:bidi="ru-RU"/>
              </w:rPr>
              <w:t>Состав разрабатываемой документации и требования к содержанию</w:t>
            </w:r>
          </w:p>
        </w:tc>
        <w:tc>
          <w:tcPr>
            <w:tcW w:w="6616" w:type="dxa"/>
            <w:shd w:val="clear" w:color="auto" w:fill="auto"/>
          </w:tcPr>
          <w:p w14:paraId="5D963969" w14:textId="77777777" w:rsidR="002442BA" w:rsidRP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442BA">
              <w:rPr>
                <w:sz w:val="24"/>
                <w:szCs w:val="24"/>
              </w:rPr>
              <w:t>Состав комплекта документации стадии «Рабочая документация» – в соответствии с ГОСТ Р 21.101-2020 «Система проектной документации для строительства. Основные требования к проектной и рабочей документации», в объеме достаточном для строительства.</w:t>
            </w:r>
          </w:p>
          <w:p w14:paraId="67254FA1" w14:textId="77777777" w:rsidR="002442BA" w:rsidRP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  <w:p w14:paraId="66DFE1B9" w14:textId="1D6CAF34" w:rsidR="002442BA" w:rsidRPr="002442BA" w:rsidRDefault="002442BA" w:rsidP="002442BA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442BA">
              <w:rPr>
                <w:rFonts w:ascii="Times New Roman" w:hAnsi="Times New Roman"/>
                <w:color w:val="000000"/>
                <w:lang w:bidi="ru-RU"/>
              </w:rPr>
              <w:t>Состав разделов может быть уточнен на этапе проектирования.</w:t>
            </w:r>
          </w:p>
        </w:tc>
      </w:tr>
      <w:tr w:rsidR="002442BA" w:rsidRPr="00B51EC9" w14:paraId="4E16C242" w14:textId="77777777" w:rsidTr="00AB65BC">
        <w:trPr>
          <w:trHeight w:val="776"/>
        </w:trPr>
        <w:tc>
          <w:tcPr>
            <w:tcW w:w="710" w:type="dxa"/>
            <w:shd w:val="clear" w:color="auto" w:fill="auto"/>
          </w:tcPr>
          <w:p w14:paraId="712E783B" w14:textId="4BFF4821" w:rsidR="002442BA" w:rsidRPr="00B51EC9" w:rsidRDefault="002442BA" w:rsidP="002442B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t>12</w:t>
            </w:r>
          </w:p>
        </w:tc>
        <w:tc>
          <w:tcPr>
            <w:tcW w:w="2598" w:type="dxa"/>
            <w:shd w:val="clear" w:color="auto" w:fill="auto"/>
          </w:tcPr>
          <w:p w14:paraId="1EC754D0" w14:textId="3A05643E" w:rsidR="002442BA" w:rsidRPr="002442BA" w:rsidRDefault="002442BA" w:rsidP="002442B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442BA">
              <w:rPr>
                <w:rFonts w:ascii="Times New Roman" w:hAnsi="Times New Roman"/>
                <w:color w:val="000000"/>
                <w:lang w:bidi="ru-RU"/>
              </w:rPr>
              <w:t>Сведения об инженерном оборудовании, о сетях инженерно-технического обеспечения, содержании технологических решений</w:t>
            </w:r>
          </w:p>
        </w:tc>
        <w:tc>
          <w:tcPr>
            <w:tcW w:w="6616" w:type="dxa"/>
            <w:shd w:val="clear" w:color="auto" w:fill="auto"/>
          </w:tcPr>
          <w:p w14:paraId="608D5975" w14:textId="77777777" w:rsidR="002442BA" w:rsidRDefault="002442BA" w:rsidP="002442BA">
            <w:pPr>
              <w:pStyle w:val="aff0"/>
              <w:tabs>
                <w:tab w:val="left" w:pos="0"/>
                <w:tab w:val="left" w:pos="159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4.5. </w:t>
            </w:r>
            <w:r w:rsidRPr="001469C2">
              <w:rPr>
                <w:b/>
                <w:bCs/>
                <w:sz w:val="24"/>
                <w:szCs w:val="24"/>
              </w:rPr>
              <w:t>Автоматическая установка газового пожаротушения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29ADB70B" w14:textId="77777777" w:rsidR="002442BA" w:rsidRPr="00862739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62739">
              <w:rPr>
                <w:sz w:val="24"/>
                <w:szCs w:val="24"/>
              </w:rPr>
              <w:t>втоматическая</w:t>
            </w:r>
            <w:r>
              <w:rPr>
                <w:sz w:val="24"/>
                <w:szCs w:val="24"/>
              </w:rPr>
              <w:t xml:space="preserve"> у</w:t>
            </w:r>
            <w:r w:rsidRPr="00862739">
              <w:rPr>
                <w:sz w:val="24"/>
                <w:szCs w:val="24"/>
              </w:rPr>
              <w:t>становка газового пожаротушения предназначена для:</w:t>
            </w:r>
          </w:p>
          <w:p w14:paraId="0853FD29" w14:textId="77777777" w:rsidR="002442BA" w:rsidRPr="00862739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2739">
              <w:rPr>
                <w:sz w:val="24"/>
                <w:szCs w:val="24"/>
              </w:rPr>
              <w:t>обнаружения возникновения места возгорания и (или) задымления;</w:t>
            </w:r>
          </w:p>
          <w:p w14:paraId="1923D168" w14:textId="77777777" w:rsidR="002442BA" w:rsidRPr="00862739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2739">
              <w:rPr>
                <w:sz w:val="24"/>
                <w:szCs w:val="24"/>
              </w:rPr>
              <w:t>передачи сообщения о вышеуказанных ситуациях на пульт и на пост пожарной</w:t>
            </w:r>
            <w:r>
              <w:rPr>
                <w:sz w:val="24"/>
                <w:szCs w:val="24"/>
              </w:rPr>
              <w:t xml:space="preserve"> </w:t>
            </w:r>
            <w:r w:rsidRPr="00862739">
              <w:rPr>
                <w:sz w:val="24"/>
                <w:szCs w:val="24"/>
              </w:rPr>
              <w:t>охраны, на котором организовано круглосуточное дежурство;</w:t>
            </w:r>
          </w:p>
          <w:p w14:paraId="0E254F83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2739">
              <w:rPr>
                <w:sz w:val="24"/>
                <w:szCs w:val="24"/>
              </w:rPr>
              <w:t xml:space="preserve">выдачи сигнала на запуск системы оповещения о пожаре; </w:t>
            </w:r>
          </w:p>
          <w:p w14:paraId="48680811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2739">
              <w:rPr>
                <w:sz w:val="24"/>
                <w:szCs w:val="24"/>
              </w:rPr>
              <w:t xml:space="preserve">выпуск огнетушащего вещества в защищаемое помещение. </w:t>
            </w:r>
          </w:p>
          <w:p w14:paraId="5A0A45D9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57266F38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62739">
              <w:rPr>
                <w:sz w:val="24"/>
                <w:szCs w:val="24"/>
              </w:rPr>
              <w:t>Защите А</w:t>
            </w:r>
            <w:r>
              <w:rPr>
                <w:sz w:val="24"/>
                <w:szCs w:val="24"/>
              </w:rPr>
              <w:t>Г</w:t>
            </w:r>
            <w:r w:rsidRPr="0086273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Т</w:t>
            </w:r>
            <w:r w:rsidRPr="00862739">
              <w:rPr>
                <w:sz w:val="24"/>
                <w:szCs w:val="24"/>
              </w:rPr>
              <w:t xml:space="preserve"> подлежат</w:t>
            </w:r>
            <w:r>
              <w:rPr>
                <w:sz w:val="24"/>
                <w:szCs w:val="24"/>
              </w:rPr>
              <w:t xml:space="preserve"> следующие помещения:</w:t>
            </w:r>
          </w:p>
          <w:p w14:paraId="7885ABEE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№4.19; №4.18; №4.20; №4.28; №4.29; №4.08; №4.09; №4.21; </w:t>
            </w:r>
            <w:r>
              <w:rPr>
                <w:sz w:val="24"/>
                <w:szCs w:val="24"/>
              </w:rPr>
              <w:lastRenderedPageBreak/>
              <w:t>№4.30; №4.16; №4.17; №4.26; №4.31</w:t>
            </w:r>
          </w:p>
          <w:p w14:paraId="3B21BB94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1825E8D2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Применяемое в проекте оборудование должно обладать высокой степенью надежности и иметь необходимые сертификаты пожарной безопасности и соответствия Российской Федерации.</w:t>
            </w:r>
          </w:p>
          <w:p w14:paraId="016181C8" w14:textId="77777777" w:rsidR="002442BA" w:rsidRPr="00B73A19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Электротехническую часть выполнить на оборудование производства компании ООО «Рубеж».</w:t>
            </w:r>
          </w:p>
          <w:p w14:paraId="14BC7FB2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1E7B7F52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Создаваемая установка автоматического пожаротушения должна обеспечивать:</w:t>
            </w:r>
          </w:p>
          <w:p w14:paraId="02D03FDA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команды на автоматический пуск установки пожаротушения при срабатывании не менее двух пожарных извещателей;</w:t>
            </w:r>
          </w:p>
          <w:p w14:paraId="0A2E3BDE" w14:textId="77777777" w:rsidR="002442BA" w:rsidRDefault="002442BA" w:rsidP="002442BA">
            <w:pPr>
              <w:pStyle w:val="aff0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возможность автоматического (от пожарных извещателей) и дистанционного (</w:t>
            </w:r>
            <w:r w:rsidRPr="00CF2E35">
              <w:rPr>
                <w:sz w:val="24"/>
                <w:szCs w:val="24"/>
              </w:rPr>
              <w:t>от кнопок с поста пожарной охраны</w:t>
            </w:r>
            <w:r>
              <w:rPr>
                <w:sz w:val="24"/>
                <w:szCs w:val="24"/>
              </w:rPr>
              <w:t>) запуска установки</w:t>
            </w:r>
            <w:r w:rsidRPr="00CF2E3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окончательные решение уточняется на этапе разработки рабочей документации;</w:t>
            </w:r>
          </w:p>
          <w:p w14:paraId="2ABB6F2F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возможность отключения и восстановления режима автоматического пуска установки с выдачей светового и звукового сигналов о переключении; </w:t>
            </w:r>
          </w:p>
          <w:p w14:paraId="73A52163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задержку выпуска газового огнетушащего вещества в защищаемое помещение при автоматическом и дистанционном пуске на время, необходимое для эвакуации из помещения людей;</w:t>
            </w:r>
          </w:p>
          <w:p w14:paraId="20FEB892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сигнала на включение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D29A4">
              <w:rPr>
                <w:bCs/>
                <w:sz w:val="24"/>
                <w:szCs w:val="24"/>
              </w:rPr>
              <w:t>системы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оповещения о пожаре;</w:t>
            </w:r>
          </w:p>
          <w:p w14:paraId="66FB7834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передачу сигналов о пожаре, срабатывании и состоянии установки в дежурном режиме персоналу, ведущему круглосуточное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дежурство. </w:t>
            </w:r>
          </w:p>
          <w:p w14:paraId="583F4173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АУГП должна состоять из технологической и электротехнической части.</w:t>
            </w:r>
          </w:p>
          <w:p w14:paraId="0DBEBB76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 технологической части входят:</w:t>
            </w:r>
          </w:p>
          <w:p w14:paraId="692A59CF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модули газового пожаротушения;</w:t>
            </w:r>
          </w:p>
          <w:p w14:paraId="18C44008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запорно-пусковые устройства;</w:t>
            </w:r>
          </w:p>
          <w:p w14:paraId="3BD9209D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технологические трубопроводы;</w:t>
            </w:r>
          </w:p>
          <w:p w14:paraId="13C4F93C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распределительные насадки.</w:t>
            </w:r>
          </w:p>
          <w:p w14:paraId="069A303E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 электротехнической части входят:</w:t>
            </w:r>
          </w:p>
          <w:p w14:paraId="64396BE6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пожарные извещатели;</w:t>
            </w:r>
          </w:p>
          <w:p w14:paraId="09ED4B4C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приборы приемно-контрольные и управления;</w:t>
            </w:r>
          </w:p>
          <w:p w14:paraId="6F6E55EF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светозвуковые оповещатели;</w:t>
            </w:r>
          </w:p>
          <w:p w14:paraId="76E39BEB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кнопки дистанционного пуска и восстановления автоматического режима работы установки;</w:t>
            </w:r>
          </w:p>
          <w:p w14:paraId="14E18E5E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шлейфы пожарной сигнализации, соединительные и питающие линии.</w:t>
            </w:r>
          </w:p>
          <w:p w14:paraId="2C1F79B3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дыма из верхних и нижних зон защищаемых помещений после пожара осуществить с помощью переносного дымососа.</w:t>
            </w:r>
          </w:p>
          <w:p w14:paraId="4E8CA1CA" w14:textId="77777777" w:rsid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427B374" w14:textId="77777777" w:rsidR="002442BA" w:rsidRPr="002442BA" w:rsidRDefault="002442BA" w:rsidP="002442BA">
            <w:pPr>
              <w:pStyle w:val="aff0"/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7D29A4">
              <w:rPr>
                <w:b/>
                <w:sz w:val="24"/>
                <w:szCs w:val="24"/>
              </w:rPr>
              <w:t xml:space="preserve">Требования к электроснабжению системы </w:t>
            </w:r>
            <w:r w:rsidRPr="002442BA">
              <w:rPr>
                <w:b/>
                <w:sz w:val="24"/>
                <w:szCs w:val="24"/>
              </w:rPr>
              <w:t>пожаротушения.</w:t>
            </w:r>
          </w:p>
          <w:p w14:paraId="437DD9BB" w14:textId="021C204B" w:rsidR="002442BA" w:rsidRPr="00EB4175" w:rsidRDefault="002442BA" w:rsidP="002442BA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2442BA">
              <w:rPr>
                <w:rFonts w:ascii="Times New Roman" w:hAnsi="Times New Roman"/>
              </w:rPr>
              <w:t xml:space="preserve">По степени обеспечения надежности электроснабжения электроприемники автоматических установок пожаротушения </w:t>
            </w:r>
            <w:r w:rsidRPr="002442BA">
              <w:rPr>
                <w:rFonts w:ascii="Times New Roman" w:hAnsi="Times New Roman"/>
              </w:rPr>
              <w:lastRenderedPageBreak/>
              <w:t xml:space="preserve">и систем пожарной сигнализации следует относить к потребителям первой категории согласно ПУЭ и </w:t>
            </w:r>
            <w:r w:rsidRPr="002442BA">
              <w:rPr>
                <w:rFonts w:ascii="Times New Roman" w:hAnsi="Times New Roman"/>
                <w:color w:val="000000"/>
                <w:highlight w:val="white"/>
                <w:lang w:bidi="ru-RU"/>
              </w:rPr>
              <w:t>СП</w:t>
            </w:r>
            <w:r w:rsidRPr="002442BA">
              <w:rPr>
                <w:rFonts w:ascii="Times New Roman" w:hAnsi="Times New Roman"/>
              </w:rPr>
              <w:t xml:space="preserve"> 6.13130. 2021. </w:t>
            </w:r>
          </w:p>
        </w:tc>
      </w:tr>
      <w:tr w:rsidR="007A7813" w:rsidRPr="00E91DC6" w14:paraId="5562AE84" w14:textId="77777777" w:rsidTr="00AB65BC">
        <w:trPr>
          <w:trHeight w:val="831"/>
        </w:trPr>
        <w:tc>
          <w:tcPr>
            <w:tcW w:w="710" w:type="dxa"/>
          </w:tcPr>
          <w:p w14:paraId="379B8030" w14:textId="77777777" w:rsidR="00EB2C38" w:rsidRPr="00AB65BC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53447155"/>
            <w:r w:rsidRPr="00AB65BC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</w:tcPr>
          <w:p w14:paraId="639194F1" w14:textId="11376B33" w:rsidR="00EB2C38" w:rsidRPr="002442BA" w:rsidRDefault="002442BA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2442BA">
              <w:rPr>
                <w:rFonts w:ascii="Times New Roman" w:hAnsi="Times New Roman"/>
                <w:color w:val="000000"/>
                <w:lang w:bidi="ru-RU"/>
              </w:rPr>
              <w:t>Согласование документации</w:t>
            </w:r>
          </w:p>
        </w:tc>
        <w:tc>
          <w:tcPr>
            <w:tcW w:w="0" w:type="auto"/>
          </w:tcPr>
          <w:p w14:paraId="630BC3C8" w14:textId="67E6A32B" w:rsidR="007A7813" w:rsidRPr="002442BA" w:rsidRDefault="002442BA" w:rsidP="002442BA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442BA">
              <w:rPr>
                <w:rFonts w:ascii="Times New Roman" w:eastAsia="Times New Roman" w:hAnsi="Times New Roman"/>
                <w:color w:val="000000"/>
                <w:lang w:eastAsia="ru-RU" w:bidi="ru-RU"/>
              </w:rPr>
              <w:t>Исполнитель согласовывает разработанную документацию с Заказчиком.</w:t>
            </w:r>
          </w:p>
        </w:tc>
      </w:tr>
      <w:bookmarkEnd w:id="0"/>
      <w:tr w:rsidR="007A7813" w:rsidRPr="00E91DC6" w14:paraId="2DCC9F7E" w14:textId="77777777" w:rsidTr="00AB65BC">
        <w:trPr>
          <w:trHeight w:val="1169"/>
        </w:trPr>
        <w:tc>
          <w:tcPr>
            <w:tcW w:w="710" w:type="dxa"/>
          </w:tcPr>
          <w:p w14:paraId="327032CB" w14:textId="53DDBA2E" w:rsidR="00EB4175" w:rsidRPr="00AB65BC" w:rsidRDefault="00EB4175" w:rsidP="00304EF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B65BC">
              <w:rPr>
                <w:rFonts w:ascii="Times New Roman" w:hAnsi="Times New Roman"/>
              </w:rPr>
              <w:t>14.</w:t>
            </w:r>
          </w:p>
        </w:tc>
        <w:tc>
          <w:tcPr>
            <w:tcW w:w="0" w:type="auto"/>
          </w:tcPr>
          <w:p w14:paraId="64DED9F8" w14:textId="77777777" w:rsidR="002442BA" w:rsidRPr="002442BA" w:rsidRDefault="002442BA" w:rsidP="002442BA">
            <w:pPr>
              <w:tabs>
                <w:tab w:val="left" w:pos="0"/>
              </w:tabs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442BA">
              <w:rPr>
                <w:rFonts w:ascii="Times New Roman" w:eastAsia="Times New Roman" w:hAnsi="Times New Roman"/>
                <w:color w:val="000000"/>
                <w:lang w:eastAsia="ru-RU" w:bidi="ru-RU"/>
              </w:rPr>
              <w:t>Требования о предъявлении и принятии выполненных</w:t>
            </w:r>
          </w:p>
          <w:p w14:paraId="1559726F" w14:textId="545CF481" w:rsidR="00EB4175" w:rsidRPr="003A0310" w:rsidRDefault="002442BA" w:rsidP="002442BA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2442BA">
              <w:rPr>
                <w:rFonts w:ascii="Times New Roman" w:eastAsia="Times New Roman" w:hAnsi="Times New Roman"/>
                <w:color w:val="000000"/>
                <w:lang w:eastAsia="ru-RU" w:bidi="ru-RU"/>
              </w:rPr>
              <w:t>работ</w:t>
            </w:r>
          </w:p>
        </w:tc>
        <w:tc>
          <w:tcPr>
            <w:tcW w:w="0" w:type="auto"/>
          </w:tcPr>
          <w:p w14:paraId="2387DA40" w14:textId="502C8EE9" w:rsidR="00EB4175" w:rsidRPr="002442BA" w:rsidRDefault="002442BA" w:rsidP="002442BA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442BA">
              <w:rPr>
                <w:rFonts w:ascii="Times New Roman" w:eastAsia="Times New Roman" w:hAnsi="Times New Roman"/>
                <w:color w:val="000000"/>
                <w:lang w:eastAsia="ru-RU" w:bidi="ru-RU"/>
              </w:rPr>
              <w:t>Заказчику передаётся рабочая документация на электронном носителе в формате разработки (</w:t>
            </w:r>
            <w:proofErr w:type="spellStart"/>
            <w:r w:rsidRPr="002442BA">
              <w:rPr>
                <w:rFonts w:ascii="Times New Roman" w:eastAsia="Times New Roman" w:hAnsi="Times New Roman"/>
                <w:color w:val="000000"/>
                <w:lang w:eastAsia="ru-RU" w:bidi="ru-RU"/>
              </w:rPr>
              <w:t>dwg</w:t>
            </w:r>
            <w:proofErr w:type="spellEnd"/>
            <w:r w:rsidRPr="002442BA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, </w:t>
            </w:r>
            <w:r w:rsidRPr="002442BA">
              <w:rPr>
                <w:rFonts w:ascii="Times New Roman" w:eastAsia="Times New Roman" w:hAnsi="Times New Roman"/>
                <w:color w:val="000000"/>
                <w:lang w:val="en-US" w:eastAsia="ru-RU" w:bidi="ru-RU"/>
              </w:rPr>
              <w:t>word</w:t>
            </w:r>
            <w:r w:rsidRPr="002442BA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, </w:t>
            </w:r>
            <w:r w:rsidRPr="002442BA">
              <w:rPr>
                <w:rFonts w:ascii="Times New Roman" w:eastAsia="Times New Roman" w:hAnsi="Times New Roman"/>
                <w:color w:val="000000"/>
                <w:lang w:val="en-US" w:eastAsia="ru-RU" w:bidi="ru-RU"/>
              </w:rPr>
              <w:t>excel</w:t>
            </w:r>
            <w:r w:rsidRPr="002442BA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, </w:t>
            </w:r>
            <w:r w:rsidRPr="002442BA">
              <w:rPr>
                <w:rFonts w:ascii="Times New Roman" w:eastAsia="Times New Roman" w:hAnsi="Times New Roman"/>
                <w:color w:val="000000"/>
                <w:lang w:val="en-US" w:eastAsia="ru-RU" w:bidi="ru-RU"/>
              </w:rPr>
              <w:t>pdf</w:t>
            </w:r>
            <w:r w:rsidRPr="002442BA">
              <w:rPr>
                <w:rFonts w:ascii="Times New Roman" w:eastAsia="Times New Roman" w:hAnsi="Times New Roman"/>
                <w:color w:val="000000"/>
                <w:lang w:eastAsia="ru-RU" w:bidi="ru-RU"/>
              </w:rPr>
              <w:t>) и формате PDF в 1 экз.</w:t>
            </w:r>
          </w:p>
        </w:tc>
      </w:tr>
      <w:tr w:rsidR="00AB65BC" w:rsidRPr="00EB4175" w14:paraId="056AC9EF" w14:textId="77777777" w:rsidTr="00A84303">
        <w:trPr>
          <w:trHeight w:val="70"/>
        </w:trPr>
        <w:tc>
          <w:tcPr>
            <w:tcW w:w="710" w:type="dxa"/>
          </w:tcPr>
          <w:p w14:paraId="23A500E5" w14:textId="5877A71F" w:rsidR="00AB65BC" w:rsidRPr="00B51EC9" w:rsidRDefault="00AB65BC" w:rsidP="00872A3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</w:tcPr>
          <w:p w14:paraId="0C200F4F" w14:textId="77777777" w:rsidR="00AB65BC" w:rsidRPr="00B51EC9" w:rsidRDefault="00AB65BC" w:rsidP="00872A3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616" w:type="dxa"/>
          </w:tcPr>
          <w:p w14:paraId="44F8136E" w14:textId="77777777" w:rsidR="00AB65BC" w:rsidRDefault="00AB65BC" w:rsidP="00872A3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C0E329B" w14:textId="77777777" w:rsidR="00AB65BC" w:rsidRPr="00A03D1B" w:rsidRDefault="00AB65BC" w:rsidP="00872A3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47B867BC" w14:textId="77777777" w:rsidR="00AB65BC" w:rsidRDefault="00AB65BC" w:rsidP="00872A3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087061DB" w14:textId="77777777" w:rsidR="00AB65BC" w:rsidRDefault="00AB65BC" w:rsidP="00872A3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5A66B7C5" w14:textId="77777777" w:rsidR="00AB65BC" w:rsidRDefault="00AB65BC" w:rsidP="00872A3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14:paraId="31A4D6A9" w14:textId="24D4E6D9" w:rsidR="00AB65BC" w:rsidRDefault="00AB65BC" w:rsidP="00872A3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A87750">
              <w:rPr>
                <w:rFonts w:ascii="Times New Roman" w:hAnsi="Times New Roman"/>
                <w:b/>
              </w:rPr>
              <w:t xml:space="preserve">В стоимости </w:t>
            </w:r>
            <w:r>
              <w:rPr>
                <w:rFonts w:ascii="Times New Roman" w:hAnsi="Times New Roman"/>
                <w:b/>
              </w:rPr>
              <w:t>коммерческого предложения Учесть устройство отверстий под инженерные коммуникации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при необходимости</w:t>
            </w:r>
            <w:r w:rsidR="003F3E19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1BCBDFEC" w14:textId="77777777" w:rsidR="00AB65BC" w:rsidRDefault="00AB65BC" w:rsidP="00872A3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20E8289D" w14:textId="5F18354A" w:rsidR="00AB65BC" w:rsidRPr="00EB4175" w:rsidRDefault="00AB65BC" w:rsidP="00AB65BC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AB65BC" w:rsidRPr="00EB4175" w14:paraId="410BE8B0" w14:textId="77777777" w:rsidTr="00AB65BC">
        <w:trPr>
          <w:trHeight w:val="1426"/>
        </w:trPr>
        <w:tc>
          <w:tcPr>
            <w:tcW w:w="710" w:type="dxa"/>
          </w:tcPr>
          <w:p w14:paraId="3FA01C05" w14:textId="34A7F450" w:rsidR="00AB65BC" w:rsidRPr="003A0310" w:rsidRDefault="00AB65BC" w:rsidP="00872A3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6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</w:tcPr>
          <w:p w14:paraId="7C5FC667" w14:textId="77777777" w:rsidR="00AB65BC" w:rsidRPr="003A0310" w:rsidRDefault="00AB65BC" w:rsidP="00872A3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0" w:type="auto"/>
          </w:tcPr>
          <w:p w14:paraId="014B4E6A" w14:textId="77777777" w:rsidR="00AB65BC" w:rsidRPr="00EB4175" w:rsidRDefault="00AB65BC" w:rsidP="00872A3F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AB65BC" w:rsidRPr="00AB65BC" w14:paraId="5C6A861B" w14:textId="77777777" w:rsidTr="00AB65BC">
        <w:trPr>
          <w:trHeight w:val="1426"/>
        </w:trPr>
        <w:tc>
          <w:tcPr>
            <w:tcW w:w="710" w:type="dxa"/>
            <w:tcBorders>
              <w:bottom w:val="nil"/>
            </w:tcBorders>
          </w:tcPr>
          <w:p w14:paraId="70700891" w14:textId="60DC207D" w:rsidR="00AB65BC" w:rsidRPr="00AB65BC" w:rsidRDefault="00AB65BC" w:rsidP="00AB65B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176338979"/>
            <w:bookmarkStart w:id="2" w:name="_Hlk176339324"/>
            <w:r w:rsidRPr="00AB65BC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Pr="00AB65BC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98" w:type="dxa"/>
            <w:tcBorders>
              <w:bottom w:val="nil"/>
            </w:tcBorders>
          </w:tcPr>
          <w:p w14:paraId="15058390" w14:textId="77777777" w:rsidR="00AB65BC" w:rsidRPr="00AB65BC" w:rsidRDefault="00AB65BC" w:rsidP="00AB65B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B65BC">
              <w:rPr>
                <w:rFonts w:ascii="Times New Roman" w:hAnsi="Times New Roman"/>
                <w:b/>
                <w:bCs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616" w:type="dxa"/>
            <w:tcBorders>
              <w:bottom w:val="nil"/>
            </w:tcBorders>
          </w:tcPr>
          <w:p w14:paraId="0F94D98C" w14:textId="77777777" w:rsidR="00AB65BC" w:rsidRPr="00AB65BC" w:rsidRDefault="00AB65BC" w:rsidP="00AB65BC">
            <w:pPr>
              <w:numPr>
                <w:ilvl w:val="0"/>
                <w:numId w:val="13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B65B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AB65BC">
              <w:rPr>
                <w:rFonts w:ascii="Times New Roman" w:hAnsi="Times New Roman"/>
                <w:b/>
                <w:bCs/>
                <w:sz w:val="22"/>
                <w:szCs w:val="22"/>
              </w:rPr>
              <w:t>Диадок</w:t>
            </w:r>
            <w:proofErr w:type="spellEnd"/>
            <w:r w:rsidRPr="00AB65BC">
              <w:rPr>
                <w:rFonts w:ascii="Times New Roman" w:hAnsi="Times New Roman"/>
                <w:b/>
                <w:bCs/>
                <w:sz w:val="22"/>
                <w:szCs w:val="22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4"/>
      </w:tblGrid>
      <w:tr w:rsidR="00AB65BC" w:rsidRPr="00AB65BC" w14:paraId="0926024E" w14:textId="77777777" w:rsidTr="00AB65BC">
        <w:trPr>
          <w:trHeight w:val="1725"/>
        </w:trPr>
        <w:tc>
          <w:tcPr>
            <w:tcW w:w="9924" w:type="dxa"/>
            <w:tcBorders>
              <w:top w:val="nil"/>
            </w:tcBorders>
          </w:tcPr>
          <w:p w14:paraId="7DA7A720" w14:textId="77777777" w:rsidR="00AB65BC" w:rsidRPr="00AB65BC" w:rsidRDefault="00AB65BC" w:rsidP="00AB65BC">
            <w:pPr>
              <w:rPr>
                <w:rFonts w:ascii="Times New Roman" w:hAnsi="Times New Roman"/>
                <w:sz w:val="22"/>
                <w:szCs w:val="22"/>
              </w:rPr>
            </w:pPr>
            <w:bookmarkStart w:id="3" w:name="_Hlk176339301"/>
            <w:bookmarkEnd w:id="1"/>
          </w:p>
          <w:p w14:paraId="23C3775B" w14:textId="77777777" w:rsidR="00AB65BC" w:rsidRPr="00AB65BC" w:rsidRDefault="00AB65BC" w:rsidP="00AB65BC">
            <w:pPr>
              <w:rPr>
                <w:rFonts w:ascii="Times New Roman" w:hAnsi="Times New Roman"/>
                <w:sz w:val="22"/>
                <w:szCs w:val="22"/>
              </w:rPr>
            </w:pPr>
            <w:r w:rsidRPr="00AB65BC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123332F2" wp14:editId="513621C4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C693EF" w14:textId="77777777" w:rsidR="00AB65BC" w:rsidRPr="00AB65BC" w:rsidRDefault="00AB65BC" w:rsidP="00AB65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2"/>
      <w:bookmarkEnd w:id="3"/>
    </w:tbl>
    <w:p w14:paraId="5A274A52" w14:textId="77777777" w:rsidR="001738B7" w:rsidRPr="00EB1366" w:rsidRDefault="001738B7" w:rsidP="003962D7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6536" w14:textId="77777777" w:rsidR="00D429F1" w:rsidRDefault="00D429F1" w:rsidP="00212441">
      <w:r>
        <w:separator/>
      </w:r>
    </w:p>
  </w:endnote>
  <w:endnote w:type="continuationSeparator" w:id="0">
    <w:p w14:paraId="3A02756A" w14:textId="77777777" w:rsidR="00D429F1" w:rsidRDefault="00D429F1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4AA8" w14:textId="77777777" w:rsidR="00D429F1" w:rsidRDefault="00D429F1" w:rsidP="00212441">
      <w:r>
        <w:separator/>
      </w:r>
    </w:p>
  </w:footnote>
  <w:footnote w:type="continuationSeparator" w:id="0">
    <w:p w14:paraId="5CAF2B89" w14:textId="77777777" w:rsidR="00D429F1" w:rsidRDefault="00D429F1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184"/>
    <w:multiLevelType w:val="hybridMultilevel"/>
    <w:tmpl w:val="62189828"/>
    <w:lvl w:ilvl="0" w:tplc="20FE3C3A">
      <w:start w:val="1"/>
      <w:numFmt w:val="bullet"/>
      <w:lvlText w:val="-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plc="00065962">
      <w:start w:val="1"/>
      <w:numFmt w:val="decimal"/>
      <w:lvlText w:val=""/>
      <w:lvlJc w:val="left"/>
    </w:lvl>
    <w:lvl w:ilvl="2" w:tplc="6A722614">
      <w:start w:val="1"/>
      <w:numFmt w:val="decimal"/>
      <w:lvlText w:val=""/>
      <w:lvlJc w:val="left"/>
    </w:lvl>
    <w:lvl w:ilvl="3" w:tplc="45E4C22A">
      <w:start w:val="1"/>
      <w:numFmt w:val="decimal"/>
      <w:lvlText w:val=""/>
      <w:lvlJc w:val="left"/>
    </w:lvl>
    <w:lvl w:ilvl="4" w:tplc="5338F936">
      <w:start w:val="1"/>
      <w:numFmt w:val="decimal"/>
      <w:lvlText w:val=""/>
      <w:lvlJc w:val="left"/>
    </w:lvl>
    <w:lvl w:ilvl="5" w:tplc="22CC2F66">
      <w:start w:val="1"/>
      <w:numFmt w:val="decimal"/>
      <w:lvlText w:val=""/>
      <w:lvlJc w:val="left"/>
    </w:lvl>
    <w:lvl w:ilvl="6" w:tplc="E0DC1CE2">
      <w:start w:val="1"/>
      <w:numFmt w:val="decimal"/>
      <w:lvlText w:val=""/>
      <w:lvlJc w:val="left"/>
    </w:lvl>
    <w:lvl w:ilvl="7" w:tplc="81341F3E">
      <w:start w:val="1"/>
      <w:numFmt w:val="decimal"/>
      <w:lvlText w:val=""/>
      <w:lvlJc w:val="left"/>
    </w:lvl>
    <w:lvl w:ilvl="8" w:tplc="F2B81F8A">
      <w:start w:val="1"/>
      <w:numFmt w:val="decimal"/>
      <w:lvlText w:val=""/>
      <w:lvlJc w:val="left"/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DF7A7A"/>
    <w:multiLevelType w:val="hybridMultilevel"/>
    <w:tmpl w:val="D7F0A5C2"/>
    <w:lvl w:ilvl="0" w:tplc="A4EA45C8">
      <w:start w:val="1"/>
      <w:numFmt w:val="bullet"/>
      <w:lvlText w:val="-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plc="A0B0F4BC">
      <w:start w:val="1"/>
      <w:numFmt w:val="decimal"/>
      <w:lvlText w:val=""/>
      <w:lvlJc w:val="left"/>
    </w:lvl>
    <w:lvl w:ilvl="2" w:tplc="554EF57E">
      <w:start w:val="1"/>
      <w:numFmt w:val="decimal"/>
      <w:lvlText w:val=""/>
      <w:lvlJc w:val="left"/>
    </w:lvl>
    <w:lvl w:ilvl="3" w:tplc="67767E32">
      <w:start w:val="1"/>
      <w:numFmt w:val="decimal"/>
      <w:lvlText w:val=""/>
      <w:lvlJc w:val="left"/>
    </w:lvl>
    <w:lvl w:ilvl="4" w:tplc="C032D9F0">
      <w:start w:val="1"/>
      <w:numFmt w:val="decimal"/>
      <w:lvlText w:val=""/>
      <w:lvlJc w:val="left"/>
    </w:lvl>
    <w:lvl w:ilvl="5" w:tplc="7A78AE5E">
      <w:start w:val="1"/>
      <w:numFmt w:val="decimal"/>
      <w:lvlText w:val=""/>
      <w:lvlJc w:val="left"/>
    </w:lvl>
    <w:lvl w:ilvl="6" w:tplc="D22EAC06">
      <w:start w:val="1"/>
      <w:numFmt w:val="decimal"/>
      <w:lvlText w:val=""/>
      <w:lvlJc w:val="left"/>
    </w:lvl>
    <w:lvl w:ilvl="7" w:tplc="09A69DC8">
      <w:start w:val="1"/>
      <w:numFmt w:val="decimal"/>
      <w:lvlText w:val=""/>
      <w:lvlJc w:val="left"/>
    </w:lvl>
    <w:lvl w:ilvl="8" w:tplc="8A5A0A64">
      <w:start w:val="1"/>
      <w:numFmt w:val="decimal"/>
      <w:lvlText w:val=""/>
      <w:lvlJc w:val="left"/>
    </w:lvl>
  </w:abstractNum>
  <w:abstractNum w:abstractNumId="3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52665"/>
    <w:multiLevelType w:val="hybridMultilevel"/>
    <w:tmpl w:val="64F46902"/>
    <w:lvl w:ilvl="0" w:tplc="11E6F404">
      <w:start w:val="1"/>
      <w:numFmt w:val="decimal"/>
      <w:lvlText w:val="%1."/>
      <w:lvlJc w:val="left"/>
      <w:rPr>
        <w:rFonts w:ascii="Times New Roman" w:eastAsia="Century Gothic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plc="E3166458">
      <w:start w:val="1"/>
      <w:numFmt w:val="decimal"/>
      <w:lvlText w:val=""/>
      <w:lvlJc w:val="left"/>
    </w:lvl>
    <w:lvl w:ilvl="2" w:tplc="FE72E6C2">
      <w:start w:val="1"/>
      <w:numFmt w:val="decimal"/>
      <w:lvlText w:val=""/>
      <w:lvlJc w:val="left"/>
    </w:lvl>
    <w:lvl w:ilvl="3" w:tplc="5F745A7C">
      <w:start w:val="1"/>
      <w:numFmt w:val="decimal"/>
      <w:lvlText w:val=""/>
      <w:lvlJc w:val="left"/>
    </w:lvl>
    <w:lvl w:ilvl="4" w:tplc="DD3AA4BA">
      <w:start w:val="1"/>
      <w:numFmt w:val="decimal"/>
      <w:lvlText w:val=""/>
      <w:lvlJc w:val="left"/>
    </w:lvl>
    <w:lvl w:ilvl="5" w:tplc="0F5A6ECC">
      <w:start w:val="1"/>
      <w:numFmt w:val="decimal"/>
      <w:lvlText w:val=""/>
      <w:lvlJc w:val="left"/>
    </w:lvl>
    <w:lvl w:ilvl="6" w:tplc="28F805D0">
      <w:start w:val="1"/>
      <w:numFmt w:val="decimal"/>
      <w:lvlText w:val=""/>
      <w:lvlJc w:val="left"/>
    </w:lvl>
    <w:lvl w:ilvl="7" w:tplc="4396364E">
      <w:start w:val="1"/>
      <w:numFmt w:val="decimal"/>
      <w:lvlText w:val=""/>
      <w:lvlJc w:val="left"/>
    </w:lvl>
    <w:lvl w:ilvl="8" w:tplc="C248C3F0">
      <w:start w:val="1"/>
      <w:numFmt w:val="decimal"/>
      <w:lvlText w:val=""/>
      <w:lvlJc w:val="left"/>
    </w:lvl>
  </w:abstractNum>
  <w:abstractNum w:abstractNumId="12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12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  <w:num w:numId="12">
    <w:abstractNumId w:val="11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42BA"/>
    <w:rsid w:val="00245383"/>
    <w:rsid w:val="00252105"/>
    <w:rsid w:val="0025642E"/>
    <w:rsid w:val="00256501"/>
    <w:rsid w:val="00260D4E"/>
    <w:rsid w:val="00261FDB"/>
    <w:rsid w:val="0026662B"/>
    <w:rsid w:val="00271926"/>
    <w:rsid w:val="002754FD"/>
    <w:rsid w:val="00275F9D"/>
    <w:rsid w:val="00277591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7A12"/>
    <w:rsid w:val="00377D84"/>
    <w:rsid w:val="0039078A"/>
    <w:rsid w:val="00392474"/>
    <w:rsid w:val="003962D7"/>
    <w:rsid w:val="00396EE5"/>
    <w:rsid w:val="003A4C6B"/>
    <w:rsid w:val="003B7AA0"/>
    <w:rsid w:val="003C0D74"/>
    <w:rsid w:val="003E6790"/>
    <w:rsid w:val="003F16AD"/>
    <w:rsid w:val="003F3E19"/>
    <w:rsid w:val="00410981"/>
    <w:rsid w:val="0042442B"/>
    <w:rsid w:val="004375AB"/>
    <w:rsid w:val="00441A28"/>
    <w:rsid w:val="00447E5C"/>
    <w:rsid w:val="00456F0F"/>
    <w:rsid w:val="00463EFA"/>
    <w:rsid w:val="00470192"/>
    <w:rsid w:val="0047081C"/>
    <w:rsid w:val="00472728"/>
    <w:rsid w:val="00473078"/>
    <w:rsid w:val="0047782E"/>
    <w:rsid w:val="004836AE"/>
    <w:rsid w:val="00483B0B"/>
    <w:rsid w:val="00484F09"/>
    <w:rsid w:val="004A3349"/>
    <w:rsid w:val="004A4E90"/>
    <w:rsid w:val="004B13FC"/>
    <w:rsid w:val="004B35EE"/>
    <w:rsid w:val="004C242D"/>
    <w:rsid w:val="004C5F37"/>
    <w:rsid w:val="004D2786"/>
    <w:rsid w:val="004D398D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2DED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E24"/>
    <w:rsid w:val="00700097"/>
    <w:rsid w:val="00700CDD"/>
    <w:rsid w:val="00733496"/>
    <w:rsid w:val="00733DD2"/>
    <w:rsid w:val="0073565B"/>
    <w:rsid w:val="00736B3C"/>
    <w:rsid w:val="00736C20"/>
    <w:rsid w:val="00761219"/>
    <w:rsid w:val="007634D3"/>
    <w:rsid w:val="00764044"/>
    <w:rsid w:val="007662AE"/>
    <w:rsid w:val="007759CC"/>
    <w:rsid w:val="0078519C"/>
    <w:rsid w:val="007875D9"/>
    <w:rsid w:val="00793721"/>
    <w:rsid w:val="0079775E"/>
    <w:rsid w:val="007A0805"/>
    <w:rsid w:val="007A2E27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408EB"/>
    <w:rsid w:val="00843731"/>
    <w:rsid w:val="00843896"/>
    <w:rsid w:val="00867125"/>
    <w:rsid w:val="0087215E"/>
    <w:rsid w:val="00873962"/>
    <w:rsid w:val="00874070"/>
    <w:rsid w:val="00875338"/>
    <w:rsid w:val="00876325"/>
    <w:rsid w:val="00887B4E"/>
    <w:rsid w:val="00896034"/>
    <w:rsid w:val="008A53FD"/>
    <w:rsid w:val="008B3684"/>
    <w:rsid w:val="008B5697"/>
    <w:rsid w:val="008B5EA7"/>
    <w:rsid w:val="008B6FF3"/>
    <w:rsid w:val="008C6E83"/>
    <w:rsid w:val="008E3986"/>
    <w:rsid w:val="00900771"/>
    <w:rsid w:val="0090379C"/>
    <w:rsid w:val="00903934"/>
    <w:rsid w:val="009124C0"/>
    <w:rsid w:val="00912CEB"/>
    <w:rsid w:val="00913301"/>
    <w:rsid w:val="00922C27"/>
    <w:rsid w:val="00930C0B"/>
    <w:rsid w:val="00932C21"/>
    <w:rsid w:val="0093579E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92F47"/>
    <w:rsid w:val="009A394D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63955"/>
    <w:rsid w:val="00A67E7B"/>
    <w:rsid w:val="00A710E1"/>
    <w:rsid w:val="00A72D5C"/>
    <w:rsid w:val="00A82CAE"/>
    <w:rsid w:val="00A84303"/>
    <w:rsid w:val="00A85D74"/>
    <w:rsid w:val="00A87750"/>
    <w:rsid w:val="00A87CEF"/>
    <w:rsid w:val="00A91D43"/>
    <w:rsid w:val="00A93D55"/>
    <w:rsid w:val="00A9425D"/>
    <w:rsid w:val="00AB168F"/>
    <w:rsid w:val="00AB3A99"/>
    <w:rsid w:val="00AB626E"/>
    <w:rsid w:val="00AB65BC"/>
    <w:rsid w:val="00AC3C75"/>
    <w:rsid w:val="00AC659B"/>
    <w:rsid w:val="00AD1794"/>
    <w:rsid w:val="00AD5C18"/>
    <w:rsid w:val="00AD7CF7"/>
    <w:rsid w:val="00AE225D"/>
    <w:rsid w:val="00AE4197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3209B"/>
    <w:rsid w:val="00C357A6"/>
    <w:rsid w:val="00C51D7E"/>
    <w:rsid w:val="00C61303"/>
    <w:rsid w:val="00C6298B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D93"/>
    <w:rsid w:val="00D04E2A"/>
    <w:rsid w:val="00D21DBF"/>
    <w:rsid w:val="00D35E36"/>
    <w:rsid w:val="00D36009"/>
    <w:rsid w:val="00D429F1"/>
    <w:rsid w:val="00D50580"/>
    <w:rsid w:val="00D5543A"/>
    <w:rsid w:val="00D56579"/>
    <w:rsid w:val="00D66E7B"/>
    <w:rsid w:val="00D7236C"/>
    <w:rsid w:val="00D7366E"/>
    <w:rsid w:val="00D80DE6"/>
    <w:rsid w:val="00D83DF9"/>
    <w:rsid w:val="00D86EC6"/>
    <w:rsid w:val="00D97629"/>
    <w:rsid w:val="00DA192D"/>
    <w:rsid w:val="00DA3DAF"/>
    <w:rsid w:val="00DA412B"/>
    <w:rsid w:val="00DA5BBD"/>
    <w:rsid w:val="00DB3440"/>
    <w:rsid w:val="00DB4E80"/>
    <w:rsid w:val="00DC323A"/>
    <w:rsid w:val="00DC5F9B"/>
    <w:rsid w:val="00DD0EC6"/>
    <w:rsid w:val="00DD7729"/>
    <w:rsid w:val="00DE4F47"/>
    <w:rsid w:val="00DF4237"/>
    <w:rsid w:val="00E063BD"/>
    <w:rsid w:val="00E0783B"/>
    <w:rsid w:val="00E13353"/>
    <w:rsid w:val="00E1608A"/>
    <w:rsid w:val="00E16657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861"/>
    <w:rsid w:val="00EC54C8"/>
    <w:rsid w:val="00ED1574"/>
    <w:rsid w:val="00ED1BFC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aff">
    <w:name w:val="Другое_"/>
    <w:link w:val="aff0"/>
    <w:rsid w:val="002442BA"/>
    <w:rPr>
      <w:rFonts w:ascii="Times New Roman" w:hAnsi="Times New Roman"/>
    </w:rPr>
  </w:style>
  <w:style w:type="paragraph" w:customStyle="1" w:styleId="aff0">
    <w:name w:val="Другое"/>
    <w:basedOn w:val="a"/>
    <w:link w:val="aff"/>
    <w:rsid w:val="002442BA"/>
    <w:pPr>
      <w:widowControl w:val="0"/>
    </w:pPr>
    <w:rPr>
      <w:rFonts w:ascii="Times New Roman" w:hAnsi="Times New Roman"/>
      <w:sz w:val="22"/>
      <w:szCs w:val="22"/>
    </w:rPr>
  </w:style>
  <w:style w:type="character" w:customStyle="1" w:styleId="QuoteChar">
    <w:name w:val="Quote Char"/>
    <w:uiPriority w:val="29"/>
    <w:rsid w:val="002442B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5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269</cp:revision>
  <cp:lastPrinted>2025-09-22T10:05:00Z</cp:lastPrinted>
  <dcterms:created xsi:type="dcterms:W3CDTF">2017-11-28T07:25:00Z</dcterms:created>
  <dcterms:modified xsi:type="dcterms:W3CDTF">2025-09-22T10:05:00Z</dcterms:modified>
</cp:coreProperties>
</file>